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Приложение №</w:t>
      </w:r>
      <w:r>
        <w:rPr>
          <w:rFonts w:ascii="Times New Roman" w:hAnsi="Times New Roman"/>
          <w:color w:val="000000"/>
          <w:sz w:val="24"/>
        </w:rPr>
        <w:t xml:space="preserve">2</w:t>
      </w:r>
      <w:r>
        <w:rPr>
          <w:rFonts w:ascii="Times New Roman" w:hAnsi="Times New Roman"/>
          <w:color w:val="000000"/>
          <w:sz w:val="24"/>
        </w:rPr>
        <w:t xml:space="preserve"> к Приказу 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ТУ Росимущества в Республике 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jc w:val="right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Башкортостан</w:t>
      </w:r>
      <w:r>
        <w:rPr>
          <w:rFonts w:ascii="Times New Roman" w:hAnsi="Times New Roman"/>
          <w:color w:val="000000"/>
          <w:sz w:val="24"/>
        </w:rPr>
        <w:t xml:space="preserve"> от </w:t>
      </w:r>
      <w:r>
        <w:rPr>
          <w:rFonts w:ascii="Times New Roman" w:hAnsi="Times New Roman"/>
          <w:color w:val="000000"/>
          <w:sz w:val="24"/>
        </w:rPr>
        <w:t xml:space="preserve">_</w:t>
      </w:r>
      <w:r>
        <w:rPr>
          <w:rFonts w:ascii="Times New Roman" w:hAnsi="Times New Roman"/>
          <w:color w:val="000000"/>
          <w:sz w:val="24"/>
        </w:rPr>
        <w:t xml:space="preserve">_</w:t>
      </w:r>
      <w:r>
        <w:rPr>
          <w:rFonts w:ascii="Times New Roman" w:hAnsi="Times New Roman"/>
          <w:color w:val="000000"/>
          <w:sz w:val="24"/>
        </w:rPr>
        <w:t xml:space="preserve">.</w:t>
      </w:r>
      <w:r>
        <w:rPr>
          <w:rFonts w:ascii="Times New Roman" w:hAnsi="Times New Roman"/>
          <w:color w:val="000000"/>
          <w:sz w:val="24"/>
        </w:rPr>
        <w:t xml:space="preserve">__</w:t>
      </w:r>
      <w:r>
        <w:rPr>
          <w:rFonts w:ascii="Times New Roman" w:hAnsi="Times New Roman"/>
          <w:color w:val="000000"/>
          <w:sz w:val="24"/>
        </w:rPr>
        <w:t xml:space="preserve">.2026</w:t>
      </w:r>
      <w:bookmarkStart w:id="1" w:name="_GoBack"/>
      <w:r/>
      <w:bookmarkEnd w:id="1"/>
      <w:r>
        <w:rPr>
          <w:rFonts w:ascii="Times New Roman" w:hAnsi="Times New Roman"/>
          <w:color w:val="000000"/>
          <w:sz w:val="24"/>
        </w:rPr>
        <w:t xml:space="preserve"> №__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jc w:val="right"/>
        <w:spacing w:beforeAutospacing="1"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Договор </w:t>
      </w:r>
      <w:r>
        <w:rPr>
          <w:rFonts w:ascii="Times New Roman" w:hAnsi="Times New Roman"/>
          <w:b/>
          <w:color w:val="000000"/>
          <w:sz w:val="24"/>
        </w:rPr>
        <w:t xml:space="preserve"> №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 xml:space="preserve">_____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реализации имущества, обращенного в собственность государства 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tbl>
      <w:tblPr>
        <w:tblStyle w:val="865"/>
        <w:tblW w:w="0" w:type="auto"/>
        <w:tblBorders>
          <w:insideH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56"/>
        <w:gridCol w:w="5600"/>
        <w:gridCol w:w="5600"/>
      </w:tblGrid>
      <w:tr>
        <w:tblPrEx/>
        <w:trPr/>
        <w:tc>
          <w:tcPr>
            <w:shd w:val="clear" w:color="auto" w:fill="auto"/>
            <w:tcW w:w="4856" w:type="dxa"/>
            <w:textDirection w:val="lrTb"/>
            <w:noWrap w:val="false"/>
          </w:tcPr>
          <w:p>
            <w:pPr>
              <w:contextualSpacing/>
              <w:jc w:val="both"/>
              <w:spacing w:before="120" w:after="120" w:line="240" w:lineRule="auto"/>
              <w:tabs>
                <w:tab w:val="left" w:pos="2790" w:leader="none"/>
                <w:tab w:val="center" w:pos="4562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Уфа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5600" w:type="dxa"/>
            <w:textDirection w:val="lrTb"/>
            <w:noWrap w:val="false"/>
          </w:tcPr>
          <w:p>
            <w:pPr>
              <w:contextualSpacing/>
              <w:ind w:left="0" w:firstLine="709"/>
              <w:jc w:val="both"/>
              <w:spacing w:before="120" w:after="120" w:line="240" w:lineRule="auto"/>
              <w:tabs>
                <w:tab w:val="left" w:pos="2790" w:leader="none"/>
                <w:tab w:val="center" w:pos="4562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5600" w:type="dxa"/>
            <w:textDirection w:val="lrTb"/>
            <w:noWrap w:val="false"/>
          </w:tcPr>
          <w:p>
            <w:pPr>
              <w:contextualSpacing/>
              <w:ind w:left="0" w:firstLine="709"/>
              <w:jc w:val="both"/>
              <w:spacing w:before="120" w:after="120" w:line="240" w:lineRule="auto"/>
              <w:tabs>
                <w:tab w:val="left" w:pos="2790" w:leader="none"/>
                <w:tab w:val="center" w:pos="4562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«___</w:t>
            </w:r>
            <w:r>
              <w:rPr>
                <w:rFonts w:ascii="Times New Roman" w:hAnsi="Times New Roman"/>
                <w:sz w:val="24"/>
              </w:rPr>
              <w:t xml:space="preserve">_»_</w:t>
            </w:r>
            <w:r>
              <w:rPr>
                <w:rFonts w:ascii="Times New Roman" w:hAnsi="Times New Roman"/>
                <w:sz w:val="24"/>
              </w:rPr>
              <w:t xml:space="preserve">_________ 20</w:t>
            </w:r>
            <w:r>
              <w:rPr>
                <w:rFonts w:ascii="Times New Roman" w:hAnsi="Times New Roman"/>
                <w:sz w:val="24"/>
              </w:rPr>
              <w:t xml:space="preserve">22</w:t>
            </w:r>
            <w:r>
              <w:rPr>
                <w:rFonts w:ascii="Times New Roman" w:hAnsi="Times New Roman"/>
                <w:sz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contextualSpacing/>
        <w:ind w:left="0" w:firstLine="360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Территориальное управление Федерального агентства по управлению государственным имуществом в Республике Башкортостан, именуемое в дальнейшем Продавец, в лице </w:t>
      </w:r>
      <w:r>
        <w:rPr>
          <w:rFonts w:ascii="Times New Roman" w:hAnsi="Times New Roman"/>
          <w:sz w:val="24"/>
        </w:rPr>
        <w:t xml:space="preserve">__________________</w:t>
      </w:r>
      <w:r>
        <w:rPr>
          <w:rFonts w:ascii="Times New Roman" w:hAnsi="Times New Roman"/>
          <w:sz w:val="24"/>
        </w:rPr>
        <w:t xml:space="preserve">действующего на основ</w:t>
      </w:r>
      <w:r>
        <w:rPr>
          <w:rFonts w:ascii="Times New Roman" w:hAnsi="Times New Roman"/>
          <w:sz w:val="24"/>
        </w:rPr>
        <w:t xml:space="preserve">ании Положения о Территориальном управлении Федерального агентства по управлению государственным имуществом в Республике Башкортостан, утвержденного приказом Федерального агентства по управлению государственным имуществом от 23.06.2023 года № 131, приказа </w:t>
      </w:r>
      <w:r>
        <w:rPr>
          <w:rFonts w:ascii="Times New Roman" w:hAnsi="Times New Roman"/>
          <w:sz w:val="24"/>
        </w:rPr>
        <w:t xml:space="preserve">______________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с одной стороны</w:t>
      </w:r>
      <w:r>
        <w:rPr>
          <w:rFonts w:ascii="Times New Roman" w:hAnsi="Times New Roman"/>
          <w:color w:val="000000"/>
          <w:sz w:val="24"/>
        </w:rPr>
        <w:t xml:space="preserve">, и </w:t>
      </w:r>
      <w:r>
        <w:rPr>
          <w:rFonts w:ascii="Times New Roman" w:hAnsi="Times New Roman"/>
          <w:b/>
          <w:color w:val="0d0d0d" w:themeColor="text1" w:themeTint="F2"/>
          <w:sz w:val="24"/>
        </w:rPr>
        <w:t xml:space="preserve">_______________</w:t>
      </w:r>
      <w:r>
        <w:rPr>
          <w:rFonts w:ascii="Times New Roman" w:hAnsi="Times New Roman"/>
          <w:b/>
          <w:color w:val="0d0d0d" w:themeColor="text1" w:themeTint="F2"/>
          <w:sz w:val="24"/>
        </w:rPr>
        <w:t xml:space="preserve">, </w:t>
      </w:r>
      <w:r>
        <w:rPr>
          <w:rFonts w:ascii="Times New Roman" w:hAnsi="Times New Roman"/>
          <w:color w:val="0d0d0d" w:themeColor="text1" w:themeTint="F2"/>
          <w:sz w:val="24"/>
        </w:rPr>
        <w:t xml:space="preserve">действующий на основании </w:t>
      </w:r>
      <w:r>
        <w:rPr>
          <w:rFonts w:ascii="Times New Roman" w:hAnsi="Times New Roman"/>
          <w:color w:val="0d0d0d" w:themeColor="text1" w:themeTint="F2"/>
          <w:sz w:val="24"/>
        </w:rPr>
        <w:t xml:space="preserve">__________, </w:t>
      </w:r>
      <w:r>
        <w:rPr>
          <w:rFonts w:ascii="Times New Roman" w:hAnsi="Times New Roman"/>
          <w:color w:val="0d0d0d" w:themeColor="text1" w:themeTint="F2"/>
          <w:sz w:val="24"/>
        </w:rPr>
        <w:t xml:space="preserve">именуемый в дальнейшем</w:t>
      </w:r>
      <w:r>
        <w:rPr>
          <w:rFonts w:ascii="Times New Roman" w:hAnsi="Times New Roman"/>
          <w:b/>
          <w:color w:val="0d0d0d" w:themeColor="text1" w:themeTint="F2"/>
          <w:sz w:val="24"/>
        </w:rPr>
        <w:t xml:space="preserve"> «Покупатель», </w:t>
      </w:r>
      <w:r>
        <w:rPr>
          <w:rFonts w:ascii="Times New Roman" w:hAnsi="Times New Roman"/>
          <w:color w:val="0d0d0d" w:themeColor="text1" w:themeTint="F2"/>
          <w:sz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color w:val="0d0d0d" w:themeColor="text1" w:themeTint="F2"/>
          <w:sz w:val="24"/>
        </w:rPr>
        <w:t xml:space="preserve">в соответствии с протоколом ____</w:t>
      </w:r>
      <w:r>
        <w:rPr>
          <w:rFonts w:ascii="Times New Roman" w:hAnsi="Times New Roman"/>
          <w:color w:val="0d0d0d" w:themeColor="text1" w:themeTint="F2"/>
          <w:sz w:val="24"/>
        </w:rPr>
        <w:t xml:space="preserve">________</w:t>
      </w:r>
      <w:r>
        <w:rPr>
          <w:rFonts w:ascii="Times New Roman" w:hAnsi="Times New Roman"/>
          <w:color w:val="0d0d0d" w:themeColor="text1" w:themeTint="F2"/>
          <w:sz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</w:rPr>
        <w:t xml:space="preserve">заключили на</w:t>
      </w:r>
      <w:r>
        <w:rPr>
          <w:rFonts w:ascii="Times New Roman" w:hAnsi="Times New Roman"/>
          <w:color w:val="0d0d0d" w:themeColor="text1" w:themeTint="F2"/>
          <w:sz w:val="24"/>
        </w:rPr>
        <w:t xml:space="preserve">стоящий Договор </w:t>
      </w:r>
      <w:r>
        <w:rPr>
          <w:rFonts w:ascii="Times New Roman" w:hAnsi="Times New Roman"/>
          <w:color w:val="000000"/>
          <w:sz w:val="24"/>
        </w:rPr>
        <w:t xml:space="preserve">о нижеследующем</w:t>
      </w:r>
      <w:r>
        <w:rPr>
          <w:rFonts w:ascii="Times New Roman" w:hAnsi="Times New Roman"/>
          <w:color w:val="000000"/>
          <w:sz w:val="24"/>
        </w:rPr>
        <w:t xml:space="preserve">: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360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360" w:firstLine="0"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1.Предмет договора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360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1.1.</w:t>
      </w:r>
      <w:r>
        <w:rPr>
          <w:rFonts w:ascii="Times New Roman" w:hAnsi="Times New Roman"/>
          <w:color w:val="000000"/>
          <w:sz w:val="24"/>
        </w:rPr>
        <w:t xml:space="preserve">В соответствии с настоящим договором </w:t>
      </w:r>
      <w:r>
        <w:rPr>
          <w:rFonts w:ascii="Times New Roman" w:hAnsi="Times New Roman"/>
          <w:color w:val="000000"/>
          <w:sz w:val="24"/>
        </w:rPr>
        <w:t xml:space="preserve">Продавец </w:t>
      </w:r>
      <w:r>
        <w:rPr>
          <w:rFonts w:ascii="Times New Roman" w:hAnsi="Times New Roman"/>
          <w:color w:val="000000"/>
          <w:sz w:val="24"/>
        </w:rPr>
        <w:t xml:space="preserve">обязуется передать в собственность Покупателю, следую</w:t>
      </w:r>
      <w:r>
        <w:rPr>
          <w:rFonts w:ascii="Times New Roman" w:hAnsi="Times New Roman"/>
          <w:color w:val="000000"/>
          <w:sz w:val="24"/>
        </w:rPr>
        <w:t xml:space="preserve">щее имущество (далее-Имущество):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tbl>
      <w:tblPr>
        <w:tblStyle w:val="865"/>
        <w:tblW w:w="0" w:type="auto"/>
        <w:tblBorders>
          <w:top w:val="single" w:color="00000A" w:sz="6" w:space="0"/>
          <w:left w:val="single" w:color="00000A" w:sz="6" w:space="0"/>
          <w:bottom w:val="single" w:color="00000A" w:sz="6" w:space="0"/>
          <w:right w:val="single" w:color="00000A" w:sz="6" w:space="0"/>
        </w:tblBorders>
        <w:tblLayout w:type="fixed"/>
        <w:tblCellMar>
          <w:left w:w="105" w:type="dxa"/>
          <w:top w:w="105" w:type="dxa"/>
          <w:right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588"/>
        <w:gridCol w:w="6793"/>
        <w:gridCol w:w="812"/>
        <w:gridCol w:w="1827"/>
      </w:tblGrid>
      <w:tr>
        <w:tblPrEx/>
        <w:trPr>
          <w:trHeight w:val="135"/>
        </w:trPr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588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135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п/п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6793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135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имущества и физические характеристики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позволяющие его идентифицировать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812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135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Кол-во, шт.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1827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135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Стоимость, руб.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учетом НДС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588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150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6793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812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150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1827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7381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ИТОГО: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812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5" w:type="dxa"/>
              <w:top w:w="105" w:type="dxa"/>
              <w:right w:w="105" w:type="dxa"/>
              <w:bottom w:w="105" w:type="dxa"/>
            </w:tcMar>
            <w:tcW w:w="1827" w:type="dxa"/>
            <w:textDirection w:val="lrTb"/>
            <w:noWrap w:val="false"/>
          </w:tcPr>
          <w:p>
            <w:pPr>
              <w:contextualSpacing/>
              <w:jc w:val="both"/>
              <w:spacing w:beforeAutospacing="1" w:after="115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</w:tbl>
    <w:p>
      <w:pPr>
        <w:contextualSpacing/>
        <w:ind w:left="0" w:firstLine="360"/>
        <w:jc w:val="both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 Покупатель обязуется оплатить и принять это Имущество в порядке, предусмотренном условиями настоящего Договора.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360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1.2. Указанное в пункте 1.1 имущество является имуществом, обращенным в собственность государства и реализуется в соответствии Поста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новлением Правительства Российской Федерации от 30.09.2015г. №1041 «О порядке реализации имущества, обращенного в собственность государства, и о внесении изменения в Постановление Правительства Российской Федерации от 10.09.2012г. №909; Приказом Министерст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ва финансов РФ от 17.09.2021 № 131н «Об утверждении порядка реализации имущества, указанного в подпункте "а" пункта 1 Положения о порядке реализации имущества, обращенного в собственность государства, вещественных доказательств, изъятых вещей, а также заде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ржанных таможенными органами товаров, утвержденного постановлением Правительства Российской Федерации от 30 сентября 2015 г. № 1041 (за исключением обращенных в собственность Российской Федерации морских судов и судов внутреннего водного плавания), веществ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енных доказательств, переданных на реализацию по основаниям, предусмотренным Уголовно-процессуальным кодексом Российской Федерации, изъятых вещей, явившихся орудиями совершения или предметами административного правонарушения, подвергающихся быстрой порче».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contextualSpacing/>
        <w:ind w:left="0" w:firstLine="360"/>
        <w:jc w:val="both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ind w:left="0" w:firstLine="360"/>
        <w:jc w:val="both"/>
        <w:spacing w:after="0" w:line="240" w:lineRule="auto"/>
        <w:rPr>
          <w:rFonts w:ascii="Times New Roman" w:hAnsi="Times New Roman"/>
          <w:color w:val="282828"/>
          <w:sz w:val="24"/>
        </w:rPr>
      </w:pPr>
      <w:r>
        <w:rPr>
          <w:rFonts w:ascii="Times New Roman" w:hAnsi="Times New Roman"/>
          <w:color w:val="282828"/>
          <w:sz w:val="24"/>
        </w:rPr>
      </w:r>
      <w:r>
        <w:rPr>
          <w:rFonts w:ascii="Times New Roman" w:hAnsi="Times New Roman"/>
          <w:color w:val="282828"/>
          <w:sz w:val="24"/>
        </w:rPr>
      </w:r>
      <w:r>
        <w:rPr>
          <w:rFonts w:ascii="Times New Roman" w:hAnsi="Times New Roman"/>
          <w:color w:val="282828"/>
          <w:sz w:val="24"/>
        </w:rPr>
      </w:r>
    </w:p>
    <w:p>
      <w:pPr>
        <w:numPr>
          <w:ilvl w:val="0"/>
          <w:numId w:val="1"/>
        </w:num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Права и обязанности сторон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 Покупатель обязу</w:t>
      </w:r>
      <w:r>
        <w:rPr>
          <w:rFonts w:ascii="Times New Roman" w:hAnsi="Times New Roman"/>
          <w:color w:val="000000"/>
          <w:sz w:val="24"/>
        </w:rPr>
        <w:t xml:space="preserve">ется оплатить Имущество в срок,</w:t>
      </w:r>
      <w:r>
        <w:rPr>
          <w:rFonts w:ascii="Times New Roman" w:hAnsi="Times New Roman"/>
          <w:color w:val="000000"/>
          <w:sz w:val="24"/>
        </w:rPr>
        <w:t xml:space="preserve"> указанны</w:t>
      </w:r>
      <w:r>
        <w:rPr>
          <w:rFonts w:ascii="Times New Roman" w:hAnsi="Times New Roman"/>
          <w:color w:val="000000"/>
          <w:sz w:val="24"/>
        </w:rPr>
        <w:t xml:space="preserve">й в п.3.2 </w:t>
      </w:r>
      <w:r>
        <w:rPr>
          <w:rFonts w:ascii="Times New Roman" w:hAnsi="Times New Roman"/>
          <w:color w:val="000000"/>
          <w:sz w:val="24"/>
        </w:rPr>
        <w:t xml:space="preserve">настоящего Договора.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 Передача Имущества Продавцом и принятие его Покупат</w:t>
      </w:r>
      <w:r>
        <w:rPr>
          <w:rFonts w:ascii="Times New Roman" w:hAnsi="Times New Roman"/>
          <w:color w:val="000000"/>
          <w:sz w:val="24"/>
        </w:rPr>
        <w:t xml:space="preserve">елем осуществляется в течение 5 (пяти</w:t>
      </w:r>
      <w:r>
        <w:rPr>
          <w:rFonts w:ascii="Times New Roman" w:hAnsi="Times New Roman"/>
          <w:color w:val="000000"/>
          <w:sz w:val="24"/>
        </w:rPr>
        <w:t xml:space="preserve">) рабочих дней с даты полной оплаты имущества путем подписания Сторонами акта приема-передачи на условиях самовывоза.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Обязанность по передаче Имущества Покупателю считается исполненной с момента подписания сторонами акта приема-передачи.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z w:val="24"/>
        </w:rPr>
        <w:t xml:space="preserve">Покупатель своими силами и за свой счет обязан вывезти приобретенное имущество с места его нахождения.</w:t>
      </w:r>
      <w:r>
        <w:rPr>
          <w:rFonts w:ascii="Times New Roman" w:hAnsi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z w:val="24"/>
          <w:szCs w:val="24"/>
          <w:highlight w:val="none"/>
        </w:rPr>
      </w:r>
    </w:p>
    <w:p>
      <w:pPr>
        <w:contextualSpacing/>
        <w:ind w:left="0" w:firstLine="562"/>
        <w:jc w:val="both"/>
        <w:spacing w:beforeAutospacing="1" w:after="0" w:line="240" w:lineRule="auto"/>
      </w:pPr>
      <w:r>
        <w:rPr>
          <w:rFonts w:ascii="Times New Roman" w:hAnsi="Times New Roman"/>
          <w:color w:val="000000"/>
          <w:sz w:val="24"/>
          <w:highlight w:val="none"/>
        </w:rPr>
        <w:t xml:space="preserve">2.3. Продавец</w:t>
      </w:r>
      <w:r>
        <w:rPr>
          <w:rFonts w:ascii="Times New Roman" w:hAnsi="Times New Roman"/>
          <w:color w:val="000000"/>
          <w:sz w:val="24"/>
          <w:highlight w:val="none"/>
        </w:rPr>
        <w:t xml:space="preserve"> не несет ответственность за соответствие </w:t>
      </w:r>
      <w:r>
        <w:rPr>
          <w:rFonts w:ascii="Times New Roman" w:hAnsi="Times New Roman"/>
          <w:color w:val="000000"/>
          <w:sz w:val="24"/>
          <w:highlight w:val="none"/>
        </w:rPr>
        <w:t xml:space="preserve">транспортного средства требованиям технического регламента Таможенного союза </w:t>
      </w:r>
      <w:r>
        <w:rPr>
          <w:rFonts w:ascii="Times New Roman" w:hAnsi="Times New Roman"/>
          <w:color w:val="000000"/>
          <w:sz w:val="24"/>
          <w:highlight w:val="none"/>
        </w:rPr>
        <w:t xml:space="preserve">«О безопасности колесных транспортных средств» (ТР ТС 018/2011) на момент </w:t>
      </w:r>
      <w:r>
        <w:rPr>
          <w:rFonts w:ascii="Times New Roman" w:hAnsi="Times New Roman"/>
          <w:color w:val="000000"/>
          <w:sz w:val="24"/>
          <w:highlight w:val="none"/>
        </w:rPr>
        <w:t xml:space="preserve">продажи. В случае намерения использовать (эксплуатировать) приобретенное </w:t>
      </w:r>
      <w:r>
        <w:rPr>
          <w:rFonts w:ascii="Times New Roman" w:hAnsi="Times New Roman"/>
          <w:color w:val="000000"/>
          <w:sz w:val="24"/>
          <w:highlight w:val="none"/>
        </w:rPr>
        <w:t xml:space="preserve">транспортное средство покупатель самостоятельно и за свой счет совершает все </w:t>
      </w:r>
      <w:r>
        <w:rPr>
          <w:rFonts w:ascii="Times New Roman" w:hAnsi="Times New Roman"/>
          <w:color w:val="000000"/>
          <w:sz w:val="24"/>
          <w:highlight w:val="none"/>
        </w:rPr>
        <w:t xml:space="preserve">необходимые действия, связанные с его государственной регистрацией, в том числе </w:t>
      </w:r>
      <w:r>
        <w:rPr>
          <w:rFonts w:ascii="Times New Roman" w:hAnsi="Times New Roman"/>
          <w:color w:val="000000"/>
          <w:sz w:val="24"/>
          <w:highlight w:val="none"/>
        </w:rPr>
        <w:t xml:space="preserve">приведение транспортного средства в соответствие требованиям технического </w:t>
      </w:r>
      <w:r>
        <w:rPr>
          <w:rFonts w:ascii="Times New Roman" w:hAnsi="Times New Roman"/>
          <w:color w:val="000000"/>
          <w:sz w:val="24"/>
          <w:highlight w:val="none"/>
        </w:rPr>
        <w:t xml:space="preserve">регламента и уплату утилизационного сбора в порядке, установленном статьей 24.1 </w:t>
      </w:r>
      <w:r>
        <w:rPr>
          <w:rFonts w:ascii="Times New Roman" w:hAnsi="Times New Roman"/>
          <w:color w:val="000000"/>
          <w:sz w:val="24"/>
          <w:highlight w:val="none"/>
        </w:rPr>
        <w:t xml:space="preserve">Федерального закона от 24.06.1998 № 89-ФЗ «Об отходах производства </w:t>
      </w:r>
      <w:r>
        <w:rPr>
          <w:rFonts w:ascii="Times New Roman" w:hAnsi="Times New Roman"/>
          <w:color w:val="000000"/>
          <w:sz w:val="24"/>
          <w:highlight w:val="none"/>
        </w:rPr>
        <w:t xml:space="preserve">и потребления» (при необходимости).</w:t>
      </w:r>
      <w:r>
        <w:rPr>
          <w:rFonts w:ascii="Times New Roman" w:hAnsi="Times New Roman"/>
          <w:color w:val="000000"/>
          <w:sz w:val="24"/>
          <w:highlight w:val="none"/>
        </w:rPr>
      </w:r>
      <w:r/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3. Цена Договора и порядок оплаты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right="0" w:firstLine="567"/>
        <w:jc w:val="both"/>
        <w:spacing w:beforeAutospacing="1" w:after="115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3.1. Цена Имущес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тва составляет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________________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руб. ____ коп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.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в 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т.ч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. 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НД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__________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руб. ____ коп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.</w:t>
      </w:r>
      <w:r>
        <w:rPr>
          <w:rStyle w:val="820"/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Размер включенного в стоимость акциза составляет 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рублей, в том числе: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left="0" w:firstLine="708"/>
        <w:jc w:val="both"/>
        <w:spacing w:after="0" w:line="240" w:lineRule="auto"/>
      </w:pPr>
      <w:r>
        <w:rPr>
          <w:rFonts w:ascii="Times New Roman" w:hAnsi="Times New Roman"/>
          <w:sz w:val="24"/>
        </w:rPr>
        <w:t xml:space="preserve">1) </w:t>
      </w:r>
      <w:r/>
    </w:p>
    <w:p>
      <w:pPr>
        <w:contextualSpacing/>
        <w:ind w:left="0" w:right="0" w:firstLine="567"/>
        <w:jc w:val="both"/>
        <w:spacing w:beforeAutospacing="1" w:after="115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Итоговая стоимость имущества без НДС и акциза составляет _________ руб.___коп.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contextualSpacing/>
        <w:ind w:left="0" w:firstLine="562"/>
        <w:jc w:val="both"/>
        <w:spacing w:beforeAutospacing="1" w:after="0" w:line="240" w:lineRule="auto"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Задаток в сумме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___________________</w:t>
      </w:r>
      <w:r>
        <w:rPr>
          <w:rFonts w:ascii="Times New Roman" w:hAnsi="Times New Roman" w:eastAsia="Times New Roman" w:cs="Times New Roman"/>
          <w:b/>
          <w:sz w:val="24"/>
        </w:rPr>
        <w:t xml:space="preserve"> руб. ____ ко</w:t>
      </w:r>
      <w:r>
        <w:rPr>
          <w:rFonts w:ascii="Times New Roman" w:hAnsi="Times New Roman" w:eastAsia="Times New Roman" w:cs="Times New Roman"/>
          <w:b/>
          <w:sz w:val="24"/>
        </w:rPr>
        <w:t xml:space="preserve">п.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внесенный Покупателем на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специальный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счет в соответствии с Информационным сообщением, 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асчитан в счет оплаты Имущества.</w:t>
      </w:r>
      <w:r/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Стороны устанавливают следующий порядок оплаты: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  <w:t xml:space="preserve">Не позднее 10 рабочих дней с м</w:t>
      </w:r>
      <w:r>
        <w:rPr>
          <w:rFonts w:ascii="Times New Roman" w:hAnsi="Times New Roman"/>
          <w:color w:val="000000"/>
          <w:sz w:val="24"/>
        </w:rPr>
        <w:t xml:space="preserve">омента подписания настоящего Договора Покупатель перечисляет Продавцу стоимость Имущества, указанную в пункте 1.1 настоящего Договора, (включая соответствующую сумму налогов, предъявленных Продавцом Покупателю) за вычетом суммы внесенного задатка, а именно</w:t>
      </w:r>
      <w:r>
        <w:rPr>
          <w:rFonts w:ascii="Times New Roman" w:hAnsi="Times New Roman"/>
          <w:color w:val="000000"/>
          <w:sz w:val="24"/>
        </w:rPr>
        <w:t xml:space="preserve">:</w:t>
      </w:r>
      <w:r>
        <w:rPr>
          <w:rFonts w:ascii="Times New Roman" w:hAnsi="Times New Roman"/>
          <w:b/>
          <w:bCs/>
          <w:color w:val="000000"/>
          <w:sz w:val="24"/>
        </w:rPr>
        <w:t xml:space="preserve"> _____________</w:t>
      </w:r>
      <w:r>
        <w:rPr>
          <w:rFonts w:ascii="Times New Roman" w:hAnsi="Times New Roman"/>
          <w:b/>
          <w:color w:val="000000"/>
          <w:sz w:val="24"/>
        </w:rPr>
        <w:t xml:space="preserve">руб. ____ коп</w:t>
      </w:r>
      <w:r>
        <w:rPr>
          <w:rFonts w:ascii="Times New Roman" w:hAnsi="Times New Roman"/>
          <w:color w:val="000000"/>
          <w:sz w:val="24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Оплата указанной суммы производится путем перечисления денежных средств по реквизитам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</w:t>
      </w:r>
      <w:r>
        <w:rPr>
          <w:rFonts w:ascii="Times New Roman" w:hAnsi="Times New Roman" w:cs="Times New Roman"/>
          <w:b/>
          <w:color w:val="000000"/>
          <w:sz w:val="24"/>
        </w:rPr>
      </w:r>
      <w:r>
        <w:rPr>
          <w:rFonts w:ascii="Times New Roman" w:hAnsi="Times New Roman" w:cs="Times New Roman"/>
          <w:b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Оплата указанной суммы производится путем перечисления денежных средств по реквизитам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</w:t>
      </w:r>
      <w:r>
        <w:rPr>
          <w:rFonts w:ascii="Times New Roman" w:hAnsi="Times New Roman" w:cs="Times New Roman"/>
          <w:b/>
          <w:color w:val="000000"/>
          <w:sz w:val="24"/>
        </w:rPr>
      </w:r>
      <w:r>
        <w:rPr>
          <w:rFonts w:ascii="Times New Roman" w:hAnsi="Times New Roman" w:cs="Times New Roman"/>
          <w:b/>
          <w:color w:val="000000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Получатель платежа: УФК по Республике Башкортостан (ТУ Росимущества в Республике Башкортостан) 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ИНН: </w:t>
      </w:r>
      <w:r>
        <w:rPr>
          <w:rFonts w:ascii="Times New Roman" w:hAnsi="Times New Roman" w:eastAsia="Times New Roman" w:cs="Times New Roman"/>
          <w:sz w:val="24"/>
        </w:rPr>
        <w:t xml:space="preserve">0275069800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КПП: </w:t>
      </w:r>
      <w:r>
        <w:rPr>
          <w:rFonts w:ascii="Times New Roman" w:hAnsi="Times New Roman" w:eastAsia="Times New Roman" w:cs="Times New Roman"/>
          <w:sz w:val="24"/>
        </w:rPr>
        <w:t xml:space="preserve">027501001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Р/СЧЕТ: </w:t>
      </w:r>
      <w:r>
        <w:rPr>
          <w:rFonts w:ascii="Times New Roman" w:hAnsi="Times New Roman" w:eastAsia="Times New Roman" w:cs="Times New Roman"/>
          <w:sz w:val="24"/>
        </w:rPr>
        <w:t xml:space="preserve">03212643000000015109 в ОКЦ №1 Сибирского ГУ Банка России//УФК по Новосибирской области, г.Новосибирск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БИК ТОФК: </w:t>
      </w:r>
      <w:r>
        <w:rPr>
          <w:rFonts w:ascii="Times New Roman" w:hAnsi="Times New Roman" w:eastAsia="Times New Roman" w:cs="Times New Roman"/>
          <w:sz w:val="24"/>
        </w:rPr>
        <w:t xml:space="preserve">015004950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ЕКС: </w:t>
      </w:r>
      <w:r>
        <w:rPr>
          <w:rFonts w:ascii="Times New Roman" w:hAnsi="Times New Roman" w:eastAsia="Times New Roman" w:cs="Times New Roman"/>
          <w:sz w:val="24"/>
        </w:rPr>
        <w:t xml:space="preserve">401028100445370000043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КОД НОРМАТИВНОГО АКТА (ПОЛЕ 22): 0012</w:t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contextualSpacing/>
        <w:ind w:left="71" w:firstLine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u w:val="single"/>
        </w:rPr>
        <w:t xml:space="preserve">Назначение платежа</w:t>
      </w:r>
      <w:r>
        <w:rPr>
          <w:rFonts w:ascii="Times New Roman" w:hAnsi="Times New Roman" w:eastAsia="Times New Roman" w:cs="Times New Roman"/>
          <w:sz w:val="24"/>
        </w:rPr>
        <w:t xml:space="preserve">: </w:t>
      </w:r>
      <w:r>
        <w:rPr>
          <w:rFonts w:ascii="Times New Roman" w:hAnsi="Times New Roman" w:eastAsia="Times New Roman" w:cs="Times New Roman"/>
          <w:sz w:val="24"/>
        </w:rPr>
        <w:t xml:space="preserve">по договору купли-продажи имущества, обращенного в собственность государства</w:t>
      </w:r>
      <w:r>
        <w:rPr>
          <w:rFonts w:ascii="Times New Roman" w:hAnsi="Times New Roman" w:eastAsia="Times New Roman" w:cs="Times New Roman"/>
          <w:sz w:val="24"/>
        </w:rPr>
        <w:t xml:space="preserve"> № 10/к-___</w:t>
      </w:r>
      <w:r>
        <w:rPr>
          <w:rFonts w:ascii="Times New Roman" w:hAnsi="Times New Roman" w:eastAsia="Times New Roman" w:cs="Times New Roman"/>
          <w:sz w:val="24"/>
        </w:rPr>
        <w:t xml:space="preserve"> от </w:t>
      </w:r>
      <w:r>
        <w:rPr>
          <w:rFonts w:ascii="Times New Roman" w:hAnsi="Times New Roman" w:eastAsia="Times New Roman" w:cs="Times New Roman"/>
          <w:sz w:val="24"/>
        </w:rPr>
        <w:t xml:space="preserve">_</w:t>
      </w:r>
      <w:r>
        <w:rPr>
          <w:rFonts w:ascii="Times New Roman" w:hAnsi="Times New Roman" w:eastAsia="Times New Roman" w:cs="Times New Roman"/>
          <w:sz w:val="24"/>
        </w:rPr>
        <w:t xml:space="preserve">_._</w:t>
      </w:r>
      <w:r>
        <w:rPr>
          <w:rFonts w:ascii="Times New Roman" w:hAnsi="Times New Roman" w:eastAsia="Times New Roman" w:cs="Times New Roman"/>
          <w:sz w:val="24"/>
        </w:rPr>
        <w:t xml:space="preserve">_</w:t>
      </w:r>
      <w:r>
        <w:rPr>
          <w:rFonts w:ascii="Times New Roman" w:hAnsi="Times New Roman" w:eastAsia="Times New Roman" w:cs="Times New Roman"/>
          <w:sz w:val="24"/>
        </w:rPr>
        <w:t xml:space="preserve">.20___</w:t>
      </w:r>
      <w:r>
        <w:rPr>
          <w:rFonts w:ascii="Times New Roman" w:hAnsi="Times New Roman" w:eastAsia="Times New Roman" w:cs="Times New Roman"/>
          <w:sz w:val="24"/>
        </w:rPr>
        <w:t xml:space="preserve"> года.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3.3. Факт оплаты Имущества подтверждается выпиской со счета, указанного в п.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3.3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настоящего Договора.</w:t>
      </w:r>
      <w:r>
        <w:rPr>
          <w:rFonts w:ascii="Times New Roman" w:hAnsi="Times New Roman" w:cs="Times New Roman"/>
          <w:b/>
          <w:color w:val="000000"/>
          <w:sz w:val="24"/>
        </w:rPr>
      </w:r>
      <w:r>
        <w:rPr>
          <w:rFonts w:ascii="Times New Roman" w:hAnsi="Times New Roman" w:cs="Times New Roman"/>
          <w:b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contextualSpacing/>
        <w:ind w:left="0" w:firstLine="562"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4. Переход права собственности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4.1. Право собственности на Имущество переходит к Покупателю после подписания Сторонами Акта приема-передачи при условии полной оплаты Покупателем приобретаемого по договору Имущества. 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5. Качество. Гарантии качества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5.1. Приобретаемое покупателем имущество возврату и обмену не подлежит, имущество продается в том виде, комплектности и состоянии, в каком оно есть у Продавца, за скрытые дефекты имущества Продавец ответственности не несет.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5.2. Какие-либо сопроводительные документы на Имущество отсутствуют.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5.3. Покупатель самостоятельно принимает решение о необходимости и/или целесообразности за свой счет осуществить приведение товаров в состояние, соответствующее установленным требованиям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5.4.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5.5. Продавец не несет ответственности за качество продаваемого Имуще</w:t>
      </w:r>
      <w:r>
        <w:rPr>
          <w:rFonts w:ascii="Times New Roman" w:hAnsi="Times New Roman"/>
          <w:color w:val="000000"/>
          <w:sz w:val="24"/>
        </w:rPr>
        <w:t xml:space="preserve">ства, обращенного в собственность государства.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5.6. Ответств</w:t>
      </w:r>
      <w:r>
        <w:rPr>
          <w:rFonts w:ascii="Times New Roman" w:hAnsi="Times New Roman"/>
          <w:color w:val="000000"/>
          <w:sz w:val="24"/>
        </w:rPr>
        <w:t xml:space="preserve">енность за использование реализуемых в качестве годных остатков товаров по прямому назначению, в качестве годных остатков или за его вовлечение в оборот покупатель несет самостоятельно с учетом требований действующего законодательства Российской Федерации.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5.7. Продавец не несет ответственность за возможность получения паспорта транспортного средства, постановки на государственный регистрационный у</w:t>
      </w:r>
      <w:r>
        <w:rPr>
          <w:rFonts w:ascii="Times New Roman" w:hAnsi="Times New Roman"/>
          <w:color w:val="000000"/>
          <w:sz w:val="24"/>
        </w:rPr>
        <w:t xml:space="preserve">чет и допуск к его эксплуатации.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contextualSpacing/>
        <w:ind w:left="0" w:firstLine="562"/>
        <w:jc w:val="center"/>
        <w:spacing w:beforeAutospacing="1"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6. Ответственность сторон</w:t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6.2. За нарушение сроков внесения денежных средств в счет оплаты Имущества в порядке, предусмотренном разделом 3 настоящего Договора, Покупатель уплачивает Продавцу пеню в размере 0,2 % от невнесенной суммы за каждый день просрочки по </w:t>
      </w:r>
      <w:r>
        <w:rPr>
          <w:rFonts w:ascii="Times New Roman" w:hAnsi="Times New Roman"/>
          <w:color w:val="000000"/>
          <w:sz w:val="24"/>
        </w:rPr>
        <w:t xml:space="preserve">реквизитам, </w:t>
      </w:r>
      <w:r>
        <w:rPr>
          <w:rFonts w:ascii="Times New Roman" w:hAnsi="Times New Roman"/>
          <w:color w:val="000000"/>
          <w:sz w:val="24"/>
        </w:rPr>
        <w:t xml:space="preserve">указанн</w:t>
      </w:r>
      <w:r>
        <w:rPr>
          <w:rFonts w:ascii="Times New Roman" w:hAnsi="Times New Roman"/>
          <w:color w:val="000000"/>
          <w:sz w:val="24"/>
        </w:rPr>
        <w:t xml:space="preserve">ым </w:t>
      </w:r>
      <w:r>
        <w:rPr>
          <w:rFonts w:ascii="Times New Roman" w:hAnsi="Times New Roman"/>
          <w:color w:val="000000"/>
          <w:sz w:val="24"/>
        </w:rPr>
        <w:t xml:space="preserve">в </w:t>
      </w:r>
      <w:r>
        <w:rPr>
          <w:rFonts w:ascii="Times New Roman" w:hAnsi="Times New Roman"/>
          <w:color w:val="000000"/>
          <w:sz w:val="24"/>
        </w:rPr>
        <w:t xml:space="preserve">п.3.2 </w:t>
      </w:r>
      <w:r>
        <w:rPr>
          <w:rFonts w:ascii="Times New Roman" w:hAnsi="Times New Roman"/>
          <w:color w:val="000000"/>
          <w:sz w:val="24"/>
        </w:rPr>
        <w:t xml:space="preserve">настоящего Договора.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Просрочка внесения денежных средс</w:t>
      </w:r>
      <w:r>
        <w:rPr>
          <w:rFonts w:ascii="Times New Roman" w:hAnsi="Times New Roman"/>
          <w:color w:val="000000"/>
          <w:sz w:val="24"/>
        </w:rPr>
        <w:t xml:space="preserve">тв в счет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</w:t>
      </w:r>
      <w:r>
        <w:rPr>
          <w:rFonts w:ascii="Times New Roman" w:hAnsi="Times New Roman"/>
          <w:color w:val="000000"/>
          <w:sz w:val="24"/>
        </w:rPr>
        <w:t xml:space="preserve">о оплате Имущества, установленных настоящим Договора.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Расторжение договора не освобождает Покупателя от уплаты пени.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6.3. Меры ответственности Сторон, не предусмотренные настоящим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Договором, применяются в соответствии с нормами гражданского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законодательства Российской Федерации.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562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7. Действие непреодолимой силы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7.1. Ни одна из сторон не несет ответственности перед другой стороной за невыполнение обязательств, обусловленное обстоятельствами, возникшими помимо в</w:t>
      </w:r>
      <w:r>
        <w:rPr>
          <w:rFonts w:ascii="Times New Roman" w:hAnsi="Times New Roman"/>
          <w:color w:val="000000"/>
          <w:sz w:val="24"/>
        </w:rPr>
        <w:t xml:space="preserve">оли и желания сторон и которые нельзя было предвидеть или избежать, включая объявленную или фактическую войну, гражданские волнения, эпидемии, блокаду, эмбарго, запретительные меры государственных органов, землетрясения, пожары и другие стихийные бедствия.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7.2.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8. Порядок разрешения споров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</w:rPr>
      </w:r>
    </w:p>
    <w:p>
      <w:pPr>
        <w:pStyle w:val="820"/>
        <w:ind w:firstLine="709"/>
        <w:jc w:val="both"/>
        <w:shd w:val="clear" w:color="auto" w:fill="ffffff"/>
        <w:widowControl w:val="off"/>
        <w:rPr>
          <w:rFonts w:ascii="Times New Roman" w:hAnsi="Times New Roman" w:cs="Times New Roman"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8.2.При не урегулировании спорных вопросов путем переговоров, споры решаются 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судебном порядке в соответствии с действующим законодательством.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9. Порядок изменения и дополнения Договора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9.1.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обеими сторонами.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9.2. Досрочное расторжение настоящего Договора может иметь место по соглашению сторон либо по основаниям, предусмотренным настоящим Договором.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  <w:r>
        <w:rPr>
          <w:rFonts w:ascii="Times New Roman" w:hAnsi="Times New Roman"/>
          <w:b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10. Прочие условия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10.1. Настоящий Договор составлен в 2 (двух) экземплярах, имеющих одинаковую юридическую силу, для каждой из Сторон.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ind w:left="0" w:firstLine="706"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jc w:val="center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11. Юридические адреса и реквизиты сторон</w:t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contextualSpacing/>
        <w:jc w:val="both"/>
        <w:spacing w:beforeAutospacing="1"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tbl>
      <w:tblPr>
        <w:tblStyle w:val="86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220"/>
        <w:gridCol w:w="4680"/>
      </w:tblGrid>
      <w:tr>
        <w:tblPrEx/>
        <w:trPr>
          <w:trHeight w:val="2631"/>
        </w:trPr>
        <w:tc>
          <w:tcPr>
            <w:tcW w:w="522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Продавец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Территориальное управление Федерального агентства по управлению государственным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имуществом 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Республике Башкортостан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450076, г. Уфа, ул. Аксакова, 62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УФК по Республике Башкортостан (ТУ Росимущества в Республике Башкортостан)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ИНН: 0275069800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КПП: 027501001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Р/СЧЕТ: 03211643000000010100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Операционно-кассовом центре №6 Уральского главного управления Центрального банка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//УФК по Республике Башкортостан г. Уфа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БИК ТОФК: 018073401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ЕКС:40102810045370000067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КОД НОРМАТИВНОГО АКТА (ПОЛЕ 22): 0012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68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Покупатель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contextualSpacing/>
        <w:jc w:val="both"/>
      </w:pPr>
      <w:r/>
      <w:r/>
    </w:p>
    <w:sectPr>
      <w:footnotePr/>
      <w:endnotePr/>
      <w:type w:val="nextPage"/>
      <w:pgSz w:w="11906" w:h="16838" w:orient="portrait"/>
      <w:pgMar w:top="993" w:right="707" w:bottom="993" w:left="1134" w:header="708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left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left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left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left" w:pos="6480" w:leader="none"/>
        </w:tabs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6.%1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0"/>
    <w:link w:val="842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830"/>
    <w:link w:val="864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830"/>
    <w:link w:val="834"/>
    <w:uiPriority w:val="9"/>
    <w:rPr>
      <w:rFonts w:ascii="Arial" w:hAnsi="Arial" w:eastAsia="Arial" w:cs="Arial"/>
      <w:sz w:val="30"/>
      <w:szCs w:val="30"/>
    </w:rPr>
  </w:style>
  <w:style w:type="character" w:styleId="661">
    <w:name w:val="Heading 4 Char"/>
    <w:basedOn w:val="830"/>
    <w:link w:val="862"/>
    <w:uiPriority w:val="9"/>
    <w:rPr>
      <w:rFonts w:ascii="Arial" w:hAnsi="Arial" w:eastAsia="Arial" w:cs="Arial"/>
      <w:b/>
      <w:bCs/>
      <w:sz w:val="26"/>
      <w:szCs w:val="26"/>
    </w:rPr>
  </w:style>
  <w:style w:type="character" w:styleId="662">
    <w:name w:val="Heading 5 Char"/>
    <w:basedOn w:val="830"/>
    <w:link w:val="840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0"/>
    <w:next w:val="820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0"/>
    <w:next w:val="820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0"/>
    <w:next w:val="820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0"/>
    <w:next w:val="820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0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character" w:styleId="673">
    <w:name w:val="Title Char"/>
    <w:basedOn w:val="830"/>
    <w:link w:val="860"/>
    <w:uiPriority w:val="10"/>
    <w:rPr>
      <w:sz w:val="48"/>
      <w:szCs w:val="48"/>
    </w:rPr>
  </w:style>
  <w:style w:type="character" w:styleId="674">
    <w:name w:val="Subtitle Char"/>
    <w:basedOn w:val="830"/>
    <w:link w:val="858"/>
    <w:uiPriority w:val="11"/>
    <w:rPr>
      <w:sz w:val="24"/>
      <w:szCs w:val="24"/>
    </w:rPr>
  </w:style>
  <w:style w:type="paragraph" w:styleId="675">
    <w:name w:val="Quote"/>
    <w:basedOn w:val="820"/>
    <w:next w:val="820"/>
    <w:link w:val="676"/>
    <w:uiPriority w:val="29"/>
    <w:qFormat/>
    <w:pPr>
      <w:ind w:left="720" w:right="720"/>
    </w:pPr>
    <w:rPr>
      <w:i/>
    </w:rPr>
  </w:style>
  <w:style w:type="character" w:styleId="676">
    <w:name w:val="Quote Char"/>
    <w:link w:val="675"/>
    <w:uiPriority w:val="29"/>
    <w:rPr>
      <w:i/>
    </w:rPr>
  </w:style>
  <w:style w:type="paragraph" w:styleId="677">
    <w:name w:val="Intense Quote"/>
    <w:basedOn w:val="820"/>
    <w:next w:val="820"/>
    <w:link w:val="67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8">
    <w:name w:val="Intense Quote Char"/>
    <w:link w:val="677"/>
    <w:uiPriority w:val="30"/>
    <w:rPr>
      <w:i/>
    </w:rPr>
  </w:style>
  <w:style w:type="paragraph" w:styleId="679">
    <w:name w:val="Header"/>
    <w:basedOn w:val="820"/>
    <w:link w:val="6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0">
    <w:name w:val="Header Char"/>
    <w:basedOn w:val="830"/>
    <w:link w:val="679"/>
    <w:uiPriority w:val="99"/>
  </w:style>
  <w:style w:type="paragraph" w:styleId="681">
    <w:name w:val="Footer"/>
    <w:basedOn w:val="820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Footer Char"/>
    <w:basedOn w:val="830"/>
    <w:link w:val="681"/>
    <w:uiPriority w:val="99"/>
  </w:style>
  <w:style w:type="paragraph" w:styleId="683">
    <w:name w:val="Caption"/>
    <w:basedOn w:val="820"/>
    <w:next w:val="820"/>
    <w:link w:val="6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681"/>
    <w:uiPriority w:val="99"/>
  </w:style>
  <w:style w:type="table" w:styleId="685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0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0"/>
    <w:uiPriority w:val="99"/>
    <w:unhideWhenUsed/>
    <w:rPr>
      <w:vertAlign w:val="superscript"/>
    </w:rPr>
  </w:style>
  <w:style w:type="paragraph" w:styleId="814">
    <w:name w:val="endnote text"/>
    <w:basedOn w:val="820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0"/>
    <w:uiPriority w:val="99"/>
    <w:semiHidden/>
    <w:unhideWhenUsed/>
    <w:rPr>
      <w:vertAlign w:val="superscript"/>
    </w:rPr>
  </w:style>
  <w:style w:type="paragraph" w:styleId="817">
    <w:name w:val="TOC Heading"/>
    <w:uiPriority w:val="39"/>
    <w:unhideWhenUsed/>
  </w:style>
  <w:style w:type="paragraph" w:styleId="818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19" w:default="1">
    <w:name w:val="Normal"/>
    <w:link w:val="820"/>
    <w:uiPriority w:val="0"/>
    <w:qFormat/>
  </w:style>
  <w:style w:type="character" w:styleId="820" w:default="1">
    <w:name w:val="Normal"/>
    <w:link w:val="819"/>
  </w:style>
  <w:style w:type="paragraph" w:styleId="821">
    <w:name w:val="toc 2"/>
    <w:next w:val="819"/>
    <w:link w:val="8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22">
    <w:name w:val="toc 2"/>
    <w:link w:val="821"/>
    <w:rPr>
      <w:rFonts w:ascii="XO Thames" w:hAnsi="XO Thames"/>
      <w:sz w:val="28"/>
    </w:rPr>
  </w:style>
  <w:style w:type="paragraph" w:styleId="823">
    <w:name w:val="toc 4"/>
    <w:next w:val="819"/>
    <w:link w:val="824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24">
    <w:name w:val="toc 4"/>
    <w:link w:val="823"/>
    <w:rPr>
      <w:rFonts w:ascii="XO Thames" w:hAnsi="XO Thames"/>
      <w:sz w:val="28"/>
    </w:rPr>
  </w:style>
  <w:style w:type="paragraph" w:styleId="825">
    <w:name w:val="toc 6"/>
    <w:next w:val="819"/>
    <w:link w:val="826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26">
    <w:name w:val="toc 6"/>
    <w:link w:val="825"/>
    <w:rPr>
      <w:rFonts w:ascii="XO Thames" w:hAnsi="XO Thames"/>
      <w:sz w:val="28"/>
    </w:rPr>
  </w:style>
  <w:style w:type="paragraph" w:styleId="827">
    <w:name w:val="toc 7"/>
    <w:next w:val="819"/>
    <w:link w:val="828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28">
    <w:name w:val="toc 7"/>
    <w:link w:val="827"/>
    <w:rPr>
      <w:rFonts w:ascii="XO Thames" w:hAnsi="XO Thames"/>
      <w:sz w:val="28"/>
    </w:rPr>
  </w:style>
  <w:style w:type="paragraph" w:styleId="829">
    <w:name w:val="Default Paragraph Font"/>
    <w:link w:val="830"/>
  </w:style>
  <w:style w:type="character" w:styleId="830">
    <w:name w:val="Default Paragraph Font"/>
    <w:link w:val="829"/>
  </w:style>
  <w:style w:type="paragraph" w:styleId="831">
    <w:name w:val="Endnote"/>
    <w:link w:val="832"/>
    <w:pPr>
      <w:ind w:left="0" w:firstLine="851"/>
      <w:jc w:val="both"/>
    </w:pPr>
    <w:rPr>
      <w:rFonts w:ascii="XO Thames" w:hAnsi="XO Thames"/>
      <w:sz w:val="22"/>
    </w:rPr>
  </w:style>
  <w:style w:type="character" w:styleId="832">
    <w:name w:val="Endnote"/>
    <w:link w:val="831"/>
    <w:rPr>
      <w:rFonts w:ascii="XO Thames" w:hAnsi="XO Thames"/>
      <w:sz w:val="22"/>
    </w:rPr>
  </w:style>
  <w:style w:type="paragraph" w:styleId="833">
    <w:name w:val="Heading 3"/>
    <w:next w:val="819"/>
    <w:link w:val="83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34">
    <w:name w:val="Heading 3"/>
    <w:link w:val="833"/>
    <w:rPr>
      <w:rFonts w:ascii="XO Thames" w:hAnsi="XO Thames"/>
      <w:b/>
      <w:sz w:val="26"/>
    </w:rPr>
  </w:style>
  <w:style w:type="paragraph" w:styleId="835">
    <w:name w:val="otvet_krasn_30"/>
    <w:basedOn w:val="829"/>
    <w:link w:val="836"/>
  </w:style>
  <w:style w:type="character" w:styleId="836">
    <w:name w:val="otvet_krasn_30"/>
    <w:basedOn w:val="830"/>
    <w:link w:val="835"/>
  </w:style>
  <w:style w:type="paragraph" w:styleId="837">
    <w:name w:val="toc 3"/>
    <w:next w:val="819"/>
    <w:link w:val="838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838">
    <w:name w:val="toc 3"/>
    <w:link w:val="837"/>
    <w:rPr>
      <w:rFonts w:ascii="XO Thames" w:hAnsi="XO Thames"/>
      <w:sz w:val="28"/>
    </w:rPr>
  </w:style>
  <w:style w:type="paragraph" w:styleId="839">
    <w:name w:val="Heading 5"/>
    <w:next w:val="819"/>
    <w:link w:val="840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40">
    <w:name w:val="Heading 5"/>
    <w:link w:val="839"/>
    <w:rPr>
      <w:rFonts w:ascii="XO Thames" w:hAnsi="XO Thames"/>
      <w:b/>
      <w:sz w:val="22"/>
    </w:rPr>
  </w:style>
  <w:style w:type="paragraph" w:styleId="841">
    <w:name w:val="Heading 1"/>
    <w:next w:val="819"/>
    <w:link w:val="84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42">
    <w:name w:val="Heading 1"/>
    <w:link w:val="841"/>
    <w:rPr>
      <w:rFonts w:ascii="XO Thames" w:hAnsi="XO Thames"/>
      <w:b/>
      <w:sz w:val="32"/>
    </w:rPr>
  </w:style>
  <w:style w:type="paragraph" w:styleId="843">
    <w:name w:val="Hyperlink"/>
    <w:link w:val="844"/>
    <w:rPr>
      <w:color w:val="0000ff"/>
      <w:u w:val="single"/>
    </w:rPr>
  </w:style>
  <w:style w:type="character" w:styleId="844">
    <w:name w:val="Hyperlink"/>
    <w:link w:val="843"/>
    <w:rPr>
      <w:color w:val="0000ff"/>
      <w:u w:val="single"/>
    </w:rPr>
  </w:style>
  <w:style w:type="paragraph" w:styleId="845">
    <w:name w:val="Footnote"/>
    <w:link w:val="846"/>
    <w:pPr>
      <w:ind w:left="0" w:firstLine="851"/>
      <w:jc w:val="both"/>
    </w:pPr>
    <w:rPr>
      <w:rFonts w:ascii="XO Thames" w:hAnsi="XO Thames"/>
      <w:sz w:val="22"/>
    </w:rPr>
  </w:style>
  <w:style w:type="character" w:styleId="846">
    <w:name w:val="Footnote"/>
    <w:link w:val="845"/>
    <w:rPr>
      <w:rFonts w:ascii="XO Thames" w:hAnsi="XO Thames"/>
      <w:sz w:val="22"/>
    </w:rPr>
  </w:style>
  <w:style w:type="paragraph" w:styleId="847">
    <w:name w:val="toc 1"/>
    <w:next w:val="819"/>
    <w:link w:val="848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48">
    <w:name w:val="toc 1"/>
    <w:link w:val="847"/>
    <w:rPr>
      <w:rFonts w:ascii="XO Thames" w:hAnsi="XO Thames"/>
      <w:b/>
      <w:sz w:val="28"/>
    </w:rPr>
  </w:style>
  <w:style w:type="paragraph" w:styleId="849">
    <w:name w:val="Header and Footer"/>
    <w:link w:val="850"/>
    <w:pPr>
      <w:jc w:val="both"/>
      <w:spacing w:line="240" w:lineRule="auto"/>
    </w:pPr>
    <w:rPr>
      <w:rFonts w:ascii="XO Thames" w:hAnsi="XO Thames"/>
      <w:sz w:val="20"/>
    </w:rPr>
  </w:style>
  <w:style w:type="character" w:styleId="850">
    <w:name w:val="Header and Footer"/>
    <w:link w:val="849"/>
    <w:rPr>
      <w:rFonts w:ascii="XO Thames" w:hAnsi="XO Thames"/>
      <w:sz w:val="20"/>
    </w:rPr>
  </w:style>
  <w:style w:type="paragraph" w:styleId="851">
    <w:name w:val="toc 9"/>
    <w:next w:val="819"/>
    <w:link w:val="852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52">
    <w:name w:val="toc 9"/>
    <w:link w:val="851"/>
    <w:rPr>
      <w:rFonts w:ascii="XO Thames" w:hAnsi="XO Thames"/>
      <w:sz w:val="28"/>
    </w:rPr>
  </w:style>
  <w:style w:type="paragraph" w:styleId="853">
    <w:name w:val="toc 8"/>
    <w:next w:val="819"/>
    <w:link w:val="854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54">
    <w:name w:val="toc 8"/>
    <w:link w:val="853"/>
    <w:rPr>
      <w:rFonts w:ascii="XO Thames" w:hAnsi="XO Thames"/>
      <w:sz w:val="28"/>
    </w:rPr>
  </w:style>
  <w:style w:type="paragraph" w:styleId="855">
    <w:name w:val="toc 5"/>
    <w:next w:val="819"/>
    <w:link w:val="856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56">
    <w:name w:val="toc 5"/>
    <w:link w:val="855"/>
    <w:rPr>
      <w:rFonts w:ascii="XO Thames" w:hAnsi="XO Thames"/>
      <w:sz w:val="28"/>
    </w:rPr>
  </w:style>
  <w:style w:type="paragraph" w:styleId="857">
    <w:name w:val="Subtitle"/>
    <w:next w:val="819"/>
    <w:link w:val="85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8">
    <w:name w:val="Subtitle"/>
    <w:link w:val="857"/>
    <w:rPr>
      <w:rFonts w:ascii="XO Thames" w:hAnsi="XO Thames"/>
      <w:i/>
      <w:sz w:val="24"/>
    </w:rPr>
  </w:style>
  <w:style w:type="paragraph" w:styleId="859">
    <w:name w:val="Title"/>
    <w:next w:val="819"/>
    <w:link w:val="86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60">
    <w:name w:val="Title"/>
    <w:link w:val="859"/>
    <w:rPr>
      <w:rFonts w:ascii="XO Thames" w:hAnsi="XO Thames"/>
      <w:b/>
      <w:caps/>
      <w:sz w:val="40"/>
    </w:rPr>
  </w:style>
  <w:style w:type="paragraph" w:styleId="861">
    <w:name w:val="Heading 4"/>
    <w:next w:val="819"/>
    <w:link w:val="86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62">
    <w:name w:val="Heading 4"/>
    <w:link w:val="861"/>
    <w:rPr>
      <w:rFonts w:ascii="XO Thames" w:hAnsi="XO Thames"/>
      <w:b/>
      <w:sz w:val="24"/>
    </w:rPr>
  </w:style>
  <w:style w:type="paragraph" w:styleId="863">
    <w:name w:val="Heading 2"/>
    <w:next w:val="819"/>
    <w:link w:val="864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64">
    <w:name w:val="Heading 2"/>
    <w:link w:val="863"/>
    <w:rPr>
      <w:rFonts w:ascii="XO Thames" w:hAnsi="XO Thames"/>
      <w:b/>
      <w:sz w:val="28"/>
    </w:rPr>
  </w:style>
  <w:style w:type="table" w:styleId="865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dariia.veshniakova</cp:lastModifiedBy>
  <cp:revision>4</cp:revision>
  <dcterms:modified xsi:type="dcterms:W3CDTF">2026-07-01T06:51:16Z</dcterms:modified>
</cp:coreProperties>
</file>