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widowControl w:val="0"/>
        <w:tabs>
          <w:tab w:leader="none" w:pos="10065" w:val="left"/>
        </w:tabs>
        <w:ind w:right="-142"/>
        <w:jc w:val="center"/>
        <w:rPr>
          <w:b w:val="1"/>
          <w:sz w:val="23"/>
        </w:rPr>
      </w:pPr>
      <w:bookmarkStart w:id="1" w:name="_GoBack"/>
      <w:bookmarkEnd w:id="1"/>
      <w:r>
        <w:rPr>
          <w:b w:val="1"/>
          <w:sz w:val="23"/>
        </w:rPr>
        <w:t>ПРОТОКОЛ № ______ о результатах торгов</w:t>
      </w:r>
    </w:p>
    <w:p w14:paraId="02000000">
      <w:pPr>
        <w:pStyle w:val="Style_1"/>
        <w:widowControl w:val="0"/>
        <w:tabs>
          <w:tab w:leader="none" w:pos="10065" w:val="left"/>
        </w:tabs>
        <w:ind w:right="-142"/>
        <w:jc w:val="center"/>
        <w:rPr>
          <w:b w:val="1"/>
          <w:sz w:val="23"/>
        </w:rPr>
      </w:pPr>
      <w:r>
        <w:rPr>
          <w:b w:val="1"/>
          <w:sz w:val="23"/>
        </w:rPr>
        <w:t>по продаже на электронном аукционе арестованного имущества</w:t>
      </w:r>
    </w:p>
    <w:p w14:paraId="03000000">
      <w:pPr>
        <w:widowControl w:val="0"/>
        <w:tabs>
          <w:tab w:leader="none" w:pos="10065" w:val="left"/>
        </w:tabs>
        <w:ind w:firstLine="851" w:left="0" w:right="-142"/>
        <w:rPr>
          <w:sz w:val="23"/>
        </w:rPr>
      </w:pPr>
    </w:p>
    <w:p w14:paraId="04000000">
      <w:pPr>
        <w:widowControl w:val="0"/>
        <w:tabs>
          <w:tab w:leader="none" w:pos="10065" w:val="left"/>
        </w:tabs>
        <w:ind w:firstLine="851" w:left="0" w:right="-142"/>
        <w:rPr>
          <w:sz w:val="23"/>
        </w:rPr>
      </w:pPr>
      <w:r>
        <w:rPr>
          <w:sz w:val="23"/>
        </w:rPr>
        <w:t>г. Омск                                                                                                                 __ ________20__ г.</w:t>
      </w:r>
    </w:p>
    <w:p w14:paraId="05000000">
      <w:pPr>
        <w:pStyle w:val="Style_2"/>
        <w:widowControl w:val="0"/>
        <w:tabs>
          <w:tab w:leader="none" w:pos="10065" w:val="left"/>
        </w:tabs>
        <w:ind w:firstLine="567" w:left="0" w:right="-142"/>
        <w:rPr>
          <w:sz w:val="23"/>
        </w:rPr>
      </w:pPr>
    </w:p>
    <w:p w14:paraId="06000000">
      <w:pPr>
        <w:pStyle w:val="Style_2"/>
        <w:widowControl w:val="0"/>
        <w:tabs>
          <w:tab w:leader="none" w:pos="10065" w:val="left"/>
        </w:tabs>
        <w:ind w:firstLine="567" w:left="0" w:right="-142"/>
        <w:rPr>
          <w:sz w:val="23"/>
        </w:rPr>
      </w:pPr>
    </w:p>
    <w:p w14:paraId="07000000">
      <w:pPr>
        <w:pStyle w:val="Style_2"/>
        <w:widowControl w:val="0"/>
        <w:tabs>
          <w:tab w:leader="none" w:pos="10065" w:val="left"/>
        </w:tabs>
        <w:ind w:firstLine="567" w:left="0" w:right="-142"/>
        <w:rPr>
          <w:sz w:val="23"/>
        </w:rPr>
      </w:pPr>
    </w:p>
    <w:p w14:paraId="08000000">
      <w:pPr>
        <w:pStyle w:val="Style_2"/>
        <w:widowControl w:val="0"/>
        <w:tabs>
          <w:tab w:leader="none" w:pos="2552" w:val="left"/>
          <w:tab w:leader="none" w:pos="10065" w:val="left"/>
        </w:tabs>
        <w:spacing w:line="360" w:lineRule="auto"/>
        <w:ind w:firstLine="567" w:left="0" w:right="-142"/>
        <w:rPr>
          <w:sz w:val="23"/>
        </w:rPr>
      </w:pPr>
      <w:r>
        <w:rPr>
          <w:i w:val="1"/>
          <w:sz w:val="23"/>
        </w:rPr>
        <w:t xml:space="preserve">Территориальное управление Федерального агентства по управлению  государственным имуществом в Омской области, </w:t>
      </w:r>
      <w:r>
        <w:rPr>
          <w:spacing w:val="1"/>
          <w:sz w:val="23"/>
        </w:rPr>
        <w:t xml:space="preserve"> </w:t>
      </w:r>
      <w:r>
        <w:rPr>
          <w:sz w:val="23"/>
        </w:rPr>
        <w:t>именуемое в дальнейшем  «Продавец», в лице _______________________________________________________________________________________</w:t>
      </w:r>
      <w:r>
        <w:rPr>
          <w:sz w:val="23"/>
        </w:rPr>
        <w:t xml:space="preserve">, </w:t>
      </w:r>
      <w:r>
        <w:rPr>
          <w:sz w:val="23"/>
        </w:rPr>
        <w:t xml:space="preserve">действующего </w:t>
      </w:r>
      <w:r>
        <w:rPr>
          <w:sz w:val="23"/>
        </w:rPr>
        <w:t>на основании ________________________________________________________, договора о реализации арестованного имущества путем проведения торгов от 23.12.2016, спецификации  № ____ от  ___.___.20__, с одной стороны, и  ______________________________________, и</w:t>
      </w:r>
      <w:r>
        <w:rPr>
          <w:sz w:val="23"/>
        </w:rPr>
        <w:t xml:space="preserve">менуемое в дальнейшем </w:t>
      </w:r>
      <w:r>
        <w:rPr>
          <w:b w:val="1"/>
          <w:sz w:val="23"/>
        </w:rPr>
        <w:t>«Покупатель»</w:t>
      </w:r>
      <w:r>
        <w:rPr>
          <w:sz w:val="23"/>
        </w:rPr>
        <w:t xml:space="preserve">,  в лице __________________________________, действующего на основании _________________, именуемые в дальнейшем </w:t>
      </w:r>
      <w:r>
        <w:rPr>
          <w:b w:val="1"/>
          <w:sz w:val="23"/>
        </w:rPr>
        <w:t>«Стороны»,</w:t>
      </w:r>
      <w:r>
        <w:rPr>
          <w:sz w:val="23"/>
        </w:rPr>
        <w:t xml:space="preserve"> на основании протокола об итогах торгов, проведенных Продавцом на электронной торговой площадке _</w:t>
      </w:r>
      <w:r>
        <w:rPr>
          <w:sz w:val="23"/>
        </w:rPr>
        <w:t xml:space="preserve">_____________ в сети «Интернет» по адресу: http://_________________.ru  ___.___.20__  с __ час. __ мин. по ___ час. ___ мин., </w:t>
      </w:r>
      <w:r>
        <w:rPr>
          <w:b w:val="1"/>
          <w:sz w:val="23"/>
        </w:rPr>
        <w:t>подписали настоящий Протокол о нижеследующем:</w:t>
      </w:r>
      <w:r>
        <w:rPr>
          <w:sz w:val="23"/>
        </w:rPr>
        <w:t xml:space="preserve"> </w:t>
      </w:r>
    </w:p>
    <w:p w14:paraId="09000000">
      <w:pPr>
        <w:pStyle w:val="Style_1"/>
        <w:widowControl w:val="0"/>
        <w:tabs>
          <w:tab w:leader="none" w:pos="10065" w:val="left"/>
        </w:tabs>
        <w:ind w:right="-142"/>
        <w:jc w:val="center"/>
        <w:rPr>
          <w:b w:val="1"/>
          <w:sz w:val="23"/>
        </w:rPr>
      </w:pPr>
    </w:p>
    <w:p w14:paraId="0A000000"/>
    <w:p w14:paraId="0B000000">
      <w:pPr>
        <w:pStyle w:val="Style_2"/>
        <w:widowControl w:val="0"/>
        <w:numPr>
          <w:ilvl w:val="0"/>
          <w:numId w:val="1"/>
        </w:numPr>
        <w:tabs>
          <w:tab w:leader="none" w:pos="525" w:val="left"/>
          <w:tab w:leader="none" w:pos="1287" w:val="clear"/>
          <w:tab w:leader="none" w:pos="10065" w:val="left"/>
        </w:tabs>
        <w:spacing w:line="360" w:lineRule="auto"/>
        <w:ind w:firstLine="0" w:left="75" w:right="-142"/>
        <w:jc w:val="center"/>
        <w:rPr>
          <w:b w:val="1"/>
          <w:sz w:val="23"/>
        </w:rPr>
      </w:pPr>
      <w:r>
        <w:rPr>
          <w:b w:val="1"/>
          <w:sz w:val="23"/>
        </w:rPr>
        <w:t>Предмет Протокола</w:t>
      </w:r>
    </w:p>
    <w:p w14:paraId="0C000000">
      <w:pPr>
        <w:pStyle w:val="Style_2"/>
        <w:widowControl w:val="0"/>
        <w:tabs>
          <w:tab w:leader="none" w:pos="10065" w:val="left"/>
        </w:tabs>
        <w:spacing w:line="360" w:lineRule="auto"/>
        <w:ind w:firstLine="567" w:left="0" w:right="-142"/>
        <w:rPr>
          <w:sz w:val="23"/>
        </w:rPr>
      </w:pPr>
      <w:r>
        <w:rPr>
          <w:sz w:val="23"/>
        </w:rPr>
        <w:t>1.1. Продавец заключает с Покупателем договор купли-продажи в с</w:t>
      </w:r>
      <w:r>
        <w:rPr>
          <w:sz w:val="23"/>
        </w:rPr>
        <w:t xml:space="preserve">оответствии с п.3.1 настоящего Протокола, а Покупатель обязуется оплатить следующее имущество: ___________________________________ (далее – </w:t>
      </w:r>
      <w:r>
        <w:rPr>
          <w:b w:val="1"/>
          <w:sz w:val="23"/>
        </w:rPr>
        <w:t>«Имущество»</w:t>
      </w:r>
      <w:r>
        <w:rPr>
          <w:sz w:val="23"/>
        </w:rPr>
        <w:t xml:space="preserve">). </w:t>
      </w:r>
    </w:p>
    <w:p w14:paraId="0D000000">
      <w:pPr>
        <w:pStyle w:val="Style_2"/>
        <w:widowControl w:val="0"/>
        <w:tabs>
          <w:tab w:leader="none" w:pos="10065" w:val="left"/>
        </w:tabs>
        <w:spacing w:line="360" w:lineRule="auto"/>
        <w:ind w:firstLine="567" w:left="0" w:right="-142"/>
        <w:rPr>
          <w:sz w:val="23"/>
        </w:rPr>
      </w:pPr>
      <w:r>
        <w:rPr>
          <w:sz w:val="23"/>
        </w:rPr>
        <w:t>1.2. Имущество продается в рамках исполнительного производства № ____</w:t>
      </w:r>
      <w:r>
        <w:rPr>
          <w:sz w:val="23"/>
        </w:rPr>
        <w:t>_  от</w:t>
      </w:r>
      <w:r>
        <w:rPr>
          <w:sz w:val="23"/>
        </w:rPr>
        <w:t xml:space="preserve"> ___.___.20__, акта описи и</w:t>
      </w:r>
      <w:r>
        <w:rPr>
          <w:sz w:val="23"/>
        </w:rPr>
        <w:t xml:space="preserve"> ареста  имущества от ___.___.20__, в соответствии с заявкой на реализацию № ____ от ___.___.20___.</w:t>
      </w:r>
    </w:p>
    <w:p w14:paraId="0E000000">
      <w:pPr>
        <w:pStyle w:val="Style_2"/>
        <w:widowControl w:val="0"/>
        <w:tabs>
          <w:tab w:leader="none" w:pos="10065" w:val="left"/>
        </w:tabs>
        <w:spacing w:line="360" w:lineRule="auto"/>
        <w:ind w:right="-142"/>
        <w:jc w:val="center"/>
        <w:outlineLvl w:val="0"/>
        <w:rPr>
          <w:b w:val="1"/>
          <w:sz w:val="23"/>
        </w:rPr>
      </w:pPr>
      <w:r>
        <w:rPr>
          <w:b w:val="1"/>
          <w:sz w:val="23"/>
        </w:rPr>
        <w:t>II. Стоимость Имущества и порядок его оплаты</w:t>
      </w:r>
    </w:p>
    <w:p w14:paraId="0F000000">
      <w:pPr>
        <w:pStyle w:val="Style_2"/>
        <w:widowControl w:val="0"/>
        <w:tabs>
          <w:tab w:leader="none" w:pos="10065" w:val="left"/>
        </w:tabs>
        <w:spacing w:line="360" w:lineRule="auto"/>
        <w:ind w:firstLine="567" w:left="0" w:right="-142"/>
        <w:rPr>
          <w:sz w:val="23"/>
        </w:rPr>
      </w:pPr>
      <w:r>
        <w:rPr>
          <w:sz w:val="23"/>
        </w:rPr>
        <w:t>2.1. Общая стоимость Имущества составляет ______ (________________________) рублей.</w:t>
      </w:r>
    </w:p>
    <w:p w14:paraId="10000000">
      <w:pPr>
        <w:pStyle w:val="Style_3"/>
        <w:widowControl w:val="0"/>
        <w:tabs>
          <w:tab w:leader="none" w:pos="10065" w:val="left"/>
        </w:tabs>
        <w:spacing w:line="360" w:lineRule="auto"/>
        <w:ind w:right="-142"/>
        <w:rPr>
          <w:sz w:val="23"/>
        </w:rPr>
      </w:pPr>
      <w:r>
        <w:rPr>
          <w:sz w:val="23"/>
        </w:rPr>
        <w:t xml:space="preserve">2.2. Задаток в сумме ____ </w:t>
      </w:r>
      <w:r>
        <w:rPr>
          <w:sz w:val="23"/>
        </w:rPr>
        <w:t>(____________________) рублей, перечисленный Покупателем за участие в торгах, засчитывается в счет оплаты Имущества.</w:t>
      </w:r>
    </w:p>
    <w:p w14:paraId="11000000">
      <w:pPr>
        <w:pStyle w:val="Style_2"/>
        <w:widowControl w:val="0"/>
        <w:tabs>
          <w:tab w:leader="none" w:pos="10065" w:val="left"/>
        </w:tabs>
        <w:spacing w:line="360" w:lineRule="auto"/>
        <w:ind w:firstLine="567" w:left="0" w:right="-142"/>
        <w:rPr>
          <w:sz w:val="23"/>
        </w:rPr>
      </w:pPr>
      <w:r>
        <w:rPr>
          <w:sz w:val="23"/>
        </w:rPr>
        <w:t>2.3. За вычетом суммы задатка Покупатель обязан уплатить _________ (_______________________) рублей.</w:t>
      </w:r>
    </w:p>
    <w:p w14:paraId="12000000">
      <w:pPr>
        <w:pStyle w:val="Style_4"/>
        <w:widowControl w:val="0"/>
        <w:spacing w:line="360" w:lineRule="auto"/>
        <w:ind w:firstLine="567" w:left="0"/>
        <w:jc w:val="both"/>
        <w:rPr>
          <w:b w:val="0"/>
          <w:i w:val="1"/>
          <w:sz w:val="23"/>
        </w:rPr>
      </w:pPr>
      <w:r>
        <w:rPr>
          <w:b w:val="0"/>
          <w:sz w:val="23"/>
        </w:rPr>
        <w:t xml:space="preserve">Оплата производится по ___. ___. 20__ </w:t>
      </w:r>
      <w:r>
        <w:rPr>
          <w:b w:val="0"/>
          <w:sz w:val="23"/>
        </w:rPr>
        <w:t xml:space="preserve">года включительно в безналичном порядке путем перечисления указанной в </w:t>
      </w:r>
      <w:r>
        <w:rPr>
          <w:b w:val="0"/>
          <w:sz w:val="23"/>
        </w:rPr>
        <w:t>абз</w:t>
      </w:r>
      <w:r>
        <w:rPr>
          <w:b w:val="0"/>
          <w:sz w:val="23"/>
        </w:rPr>
        <w:t>. 1 настоящего пункта суммы денежных средств по следующим реквизитам:</w:t>
      </w:r>
      <w:r>
        <w:rPr>
          <w:sz w:val="23"/>
        </w:rPr>
        <w:t xml:space="preserve"> </w:t>
      </w:r>
      <w:r>
        <w:rPr>
          <w:b w:val="0"/>
          <w:i w:val="1"/>
          <w:sz w:val="23"/>
        </w:rPr>
        <w:t>Получатель платежа: ___________________________________________________________________________________________________________________________________________________________________________</w:t>
      </w:r>
      <w:r>
        <w:rPr>
          <w:b w:val="0"/>
          <w:i w:val="1"/>
          <w:sz w:val="23"/>
        </w:rPr>
        <w:t xml:space="preserve">. </w:t>
      </w:r>
    </w:p>
    <w:p w14:paraId="13000000">
      <w:pPr>
        <w:widowControl w:val="0"/>
        <w:spacing w:line="360" w:lineRule="auto"/>
        <w:ind w:firstLine="567" w:left="0"/>
        <w:jc w:val="both"/>
        <w:rPr>
          <w:sz w:val="23"/>
        </w:rPr>
      </w:pPr>
      <w:r>
        <w:rPr>
          <w:sz w:val="23"/>
        </w:rPr>
        <w:t>В графе «Назначение платежа» следует указать: «По протоколу о результатах торгов № ___ от __</w:t>
      </w:r>
      <w:r>
        <w:rPr>
          <w:sz w:val="23"/>
        </w:rPr>
        <w:t>_._</w:t>
      </w:r>
      <w:r>
        <w:rPr>
          <w:sz w:val="23"/>
        </w:rPr>
        <w:t>___.20__».</w:t>
      </w:r>
    </w:p>
    <w:p w14:paraId="14000000">
      <w:pPr>
        <w:widowControl w:val="0"/>
        <w:spacing w:line="360" w:lineRule="auto"/>
        <w:ind w:firstLine="567" w:left="0"/>
        <w:jc w:val="both"/>
        <w:rPr>
          <w:sz w:val="23"/>
        </w:rPr>
      </w:pPr>
      <w:r>
        <w:rPr>
          <w:sz w:val="23"/>
        </w:rPr>
        <w:t xml:space="preserve">  2.4. Надлежащим выполнением обязательств Покупателя по оплате Имущества является поступление денежных средств в порядке,</w:t>
      </w:r>
      <w:r>
        <w:rPr>
          <w:sz w:val="23"/>
        </w:rPr>
        <w:t xml:space="preserve"> сумме и сроки, указанные в п. 2.3 настоящего Протокола.</w:t>
      </w:r>
    </w:p>
    <w:p w14:paraId="15000000">
      <w:pPr>
        <w:pStyle w:val="Style_2"/>
        <w:widowControl w:val="0"/>
        <w:tabs>
          <w:tab w:leader="none" w:pos="10065" w:val="left"/>
        </w:tabs>
        <w:spacing w:line="360" w:lineRule="auto"/>
        <w:ind w:firstLine="567" w:left="0" w:right="-142"/>
        <w:rPr>
          <w:b w:val="1"/>
          <w:sz w:val="23"/>
        </w:rPr>
      </w:pPr>
      <w:r>
        <w:rPr>
          <w:sz w:val="23"/>
        </w:rPr>
        <w:t xml:space="preserve">   2.5. Факт оплаты Имущества удостоверяется выпиской с указанного в </w:t>
      </w:r>
      <w:r>
        <w:rPr>
          <w:sz w:val="23"/>
        </w:rPr>
        <w:t>абз</w:t>
      </w:r>
      <w:r>
        <w:rPr>
          <w:sz w:val="23"/>
        </w:rPr>
        <w:t>. 2 п. 2.3 настоящего Протокола счета, подтверждающей поступление денежных средств в счет оплаты Имущества.</w:t>
      </w:r>
    </w:p>
    <w:p w14:paraId="16000000">
      <w:pPr>
        <w:pStyle w:val="Style_2"/>
        <w:widowControl w:val="0"/>
        <w:tabs>
          <w:tab w:leader="none" w:pos="10065" w:val="left"/>
        </w:tabs>
        <w:spacing w:line="360" w:lineRule="auto"/>
        <w:ind w:right="-142"/>
        <w:jc w:val="center"/>
        <w:outlineLvl w:val="0"/>
        <w:rPr>
          <w:b w:val="1"/>
          <w:sz w:val="23"/>
        </w:rPr>
      </w:pPr>
    </w:p>
    <w:p w14:paraId="17000000">
      <w:pPr>
        <w:pStyle w:val="Style_2"/>
        <w:widowControl w:val="0"/>
        <w:tabs>
          <w:tab w:leader="none" w:pos="10065" w:val="left"/>
        </w:tabs>
        <w:spacing w:line="360" w:lineRule="auto"/>
        <w:ind w:right="-142"/>
        <w:jc w:val="center"/>
        <w:outlineLvl w:val="0"/>
        <w:rPr>
          <w:b w:val="1"/>
          <w:sz w:val="23"/>
        </w:rPr>
      </w:pPr>
      <w:r>
        <w:rPr>
          <w:b w:val="1"/>
          <w:sz w:val="23"/>
        </w:rPr>
        <w:t>III. Обязанности с</w:t>
      </w:r>
      <w:r>
        <w:rPr>
          <w:b w:val="1"/>
          <w:sz w:val="23"/>
        </w:rPr>
        <w:t xml:space="preserve">торон </w:t>
      </w:r>
    </w:p>
    <w:p w14:paraId="18000000">
      <w:pPr>
        <w:pStyle w:val="Style_3"/>
        <w:widowControl w:val="0"/>
        <w:tabs>
          <w:tab w:leader="none" w:pos="10065" w:val="left"/>
        </w:tabs>
        <w:spacing w:line="360" w:lineRule="auto"/>
        <w:ind w:right="-142"/>
        <w:rPr>
          <w:sz w:val="23"/>
        </w:rPr>
      </w:pPr>
    </w:p>
    <w:p w14:paraId="19000000">
      <w:pPr>
        <w:pStyle w:val="Style_5"/>
        <w:widowControl w:val="0"/>
        <w:spacing w:line="360" w:lineRule="auto"/>
        <w:ind w:firstLine="567" w:left="0"/>
        <w:jc w:val="both"/>
        <w:rPr>
          <w:sz w:val="23"/>
        </w:rPr>
      </w:pPr>
      <w:r>
        <w:rPr>
          <w:sz w:val="23"/>
        </w:rPr>
        <w:t>3.</w:t>
      </w:r>
      <w:r>
        <w:rPr>
          <w:sz w:val="23"/>
        </w:rPr>
        <w:t xml:space="preserve">1. </w:t>
      </w:r>
      <w:r>
        <w:rPr>
          <w:sz w:val="23"/>
        </w:rPr>
        <w:t xml:space="preserve">Договор купли-продажи имущества (далее — договор) </w:t>
      </w:r>
      <w:r>
        <w:rPr>
          <w:sz w:val="23"/>
        </w:rPr>
        <w:t>НЕ РАНЕЕ 10 рабочих дней</w:t>
      </w:r>
      <w:r>
        <w:rPr>
          <w:sz w:val="23"/>
        </w:rPr>
        <w:t xml:space="preserve"> с</w:t>
      </w:r>
      <w:r>
        <w:rPr>
          <w:sz w:val="23"/>
        </w:rPr>
        <w:t>о</w:t>
      </w:r>
      <w:r>
        <w:rPr>
          <w:sz w:val="23"/>
        </w:rPr>
        <w:t xml:space="preserve"> дня подписания протокола о результатах торгов</w:t>
      </w:r>
      <w:r>
        <w:rPr>
          <w:sz w:val="23"/>
        </w:rPr>
        <w:t xml:space="preserve"> заключает</w:t>
      </w:r>
      <w:r>
        <w:rPr>
          <w:sz w:val="23"/>
        </w:rPr>
        <w:t xml:space="preserve">ся </w:t>
      </w:r>
      <w:r>
        <w:rPr>
          <w:sz w:val="23"/>
        </w:rPr>
        <w:t>в</w:t>
      </w:r>
      <w:r>
        <w:rPr>
          <w:sz w:val="23"/>
        </w:rPr>
        <w:t xml:space="preserve"> электронной форме с использованием функционала ФГИАС «ЕСУГИ» (далее — ФГИАС ЕСУГИ), размещенного по адресу https://fiol.rosim.gov.ru.</w:t>
      </w:r>
    </w:p>
    <w:p w14:paraId="1A000000">
      <w:pPr>
        <w:pStyle w:val="Style_2"/>
        <w:widowControl w:val="0"/>
        <w:tabs>
          <w:tab w:leader="none" w:pos="10065" w:val="left"/>
        </w:tabs>
        <w:spacing w:line="360" w:lineRule="auto"/>
        <w:ind w:right="-142"/>
        <w:jc w:val="center"/>
        <w:outlineLvl w:val="0"/>
        <w:rPr>
          <w:b w:val="1"/>
          <w:sz w:val="23"/>
        </w:rPr>
      </w:pPr>
      <w:r>
        <w:rPr>
          <w:b w:val="1"/>
          <w:sz w:val="23"/>
        </w:rPr>
        <w:t>IV. Ответственность сторон</w:t>
      </w:r>
    </w:p>
    <w:p w14:paraId="1B000000">
      <w:pPr>
        <w:pStyle w:val="Style_6"/>
      </w:pPr>
      <w:r>
        <w:t>4.1. За невыполнение или ненадлежащее выполнение обязательств по настоящему Протоколу виновная сторона несет имущественную ответственность в соответствии с законодательством Российской Федераци</w:t>
      </w:r>
      <w:r>
        <w:t>и и настоящим Протоколом.</w:t>
      </w:r>
    </w:p>
    <w:p w14:paraId="1C000000">
      <w:pPr>
        <w:pStyle w:val="Style_7"/>
        <w:widowControl w:val="0"/>
        <w:tabs>
          <w:tab w:leader="none" w:pos="10065" w:val="left"/>
        </w:tabs>
        <w:spacing w:line="360" w:lineRule="auto"/>
        <w:ind w:firstLine="567" w:left="0" w:right="-142"/>
        <w:rPr>
          <w:sz w:val="23"/>
        </w:rPr>
      </w:pPr>
      <w:r>
        <w:rPr>
          <w:sz w:val="23"/>
        </w:rPr>
        <w:t>4.2. Стороны договорились, что не поступление денежных средств в счет оплаты Имущества в сумме и в сроки, указанные в п. 2.3 настоящего Протокола считается отказом Покупателя от исполнения обязательств по оплате Имущества.  В этом</w:t>
      </w:r>
      <w:r>
        <w:rPr>
          <w:sz w:val="23"/>
        </w:rPr>
        <w:t xml:space="preserve"> случае Продавец вправе отказаться от исполнения своих обязательств по настоящему Протоколу, письменно уведомив Покупателя о прекращении действия настоящего Протокола. </w:t>
      </w:r>
    </w:p>
    <w:p w14:paraId="1D000000">
      <w:pPr>
        <w:pStyle w:val="Style_7"/>
        <w:widowControl w:val="0"/>
        <w:tabs>
          <w:tab w:leader="none" w:pos="10065" w:val="left"/>
        </w:tabs>
        <w:spacing w:line="360" w:lineRule="auto"/>
        <w:ind w:firstLine="567" w:left="0" w:right="-142"/>
        <w:rPr>
          <w:sz w:val="23"/>
        </w:rPr>
      </w:pPr>
      <w:r>
        <w:rPr>
          <w:sz w:val="23"/>
        </w:rPr>
        <w:t xml:space="preserve">Настоящий Протокол прекращает свое действие с момента направления Продавцом указанного </w:t>
      </w:r>
      <w:r>
        <w:rPr>
          <w:sz w:val="23"/>
        </w:rPr>
        <w:t>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прекращении действия настоящего Протокола не требуется.</w:t>
      </w:r>
    </w:p>
    <w:p w14:paraId="1E000000">
      <w:pPr>
        <w:widowControl w:val="0"/>
        <w:tabs>
          <w:tab w:leader="none" w:pos="10065" w:val="left"/>
        </w:tabs>
        <w:spacing w:line="360" w:lineRule="auto"/>
        <w:ind w:right="-142"/>
        <w:jc w:val="center"/>
        <w:outlineLvl w:val="0"/>
        <w:rPr>
          <w:b w:val="1"/>
          <w:sz w:val="23"/>
        </w:rPr>
      </w:pPr>
    </w:p>
    <w:p w14:paraId="1F000000">
      <w:pPr>
        <w:widowControl w:val="0"/>
        <w:tabs>
          <w:tab w:leader="none" w:pos="10065" w:val="left"/>
        </w:tabs>
        <w:spacing w:line="360" w:lineRule="auto"/>
        <w:ind w:right="-142"/>
        <w:jc w:val="center"/>
        <w:outlineLvl w:val="0"/>
        <w:rPr>
          <w:b w:val="1"/>
          <w:sz w:val="23"/>
        </w:rPr>
      </w:pPr>
      <w:r>
        <w:rPr>
          <w:b w:val="1"/>
          <w:sz w:val="23"/>
        </w:rPr>
        <w:t>V. Прочие условия</w:t>
      </w:r>
    </w:p>
    <w:p w14:paraId="20000000">
      <w:pPr>
        <w:pStyle w:val="Style_7"/>
        <w:widowControl w:val="0"/>
        <w:tabs>
          <w:tab w:leader="none" w:pos="10065" w:val="left"/>
        </w:tabs>
        <w:spacing w:line="360" w:lineRule="auto"/>
        <w:ind w:firstLine="567" w:left="0" w:right="-142"/>
        <w:rPr>
          <w:sz w:val="23"/>
        </w:rPr>
      </w:pPr>
      <w:r>
        <w:rPr>
          <w:sz w:val="23"/>
        </w:rPr>
        <w:t>5.1. Настоящий</w:t>
      </w:r>
      <w:r>
        <w:rPr>
          <w:sz w:val="23"/>
        </w:rPr>
        <w:t xml:space="preserve"> Протокол вступает в силу с момента его подписания и прекращает свое действие при: - надлежащем исполнении Сторонами своих обязательств;</w:t>
      </w:r>
    </w:p>
    <w:p w14:paraId="21000000">
      <w:pPr>
        <w:pStyle w:val="Style_7"/>
        <w:widowControl w:val="0"/>
        <w:tabs>
          <w:tab w:leader="none" w:pos="10065" w:val="left"/>
        </w:tabs>
        <w:spacing w:line="360" w:lineRule="auto"/>
        <w:ind w:firstLine="709" w:left="0" w:right="-142"/>
        <w:rPr>
          <w:sz w:val="23"/>
        </w:rPr>
      </w:pPr>
      <w:r>
        <w:rPr>
          <w:sz w:val="23"/>
        </w:rPr>
        <w:t xml:space="preserve">            - расторжении в предусмотренных федеральным законодательством и настоящим Протоколом случаях;</w:t>
      </w:r>
    </w:p>
    <w:p w14:paraId="22000000">
      <w:pPr>
        <w:pStyle w:val="Style_7"/>
        <w:widowControl w:val="0"/>
        <w:tabs>
          <w:tab w:leader="none" w:pos="10065" w:val="left"/>
        </w:tabs>
        <w:spacing w:line="360" w:lineRule="auto"/>
        <w:ind w:firstLine="709" w:left="0" w:right="-142"/>
        <w:rPr>
          <w:sz w:val="23"/>
        </w:rPr>
      </w:pPr>
      <w:r>
        <w:rPr>
          <w:sz w:val="23"/>
        </w:rPr>
        <w:t xml:space="preserve">            -</w:t>
      </w:r>
      <w:r>
        <w:rPr>
          <w:sz w:val="23"/>
        </w:rPr>
        <w:t xml:space="preserve"> возникновении иных оснований, предусмотренных законодательством Российской Федерации. </w:t>
      </w:r>
    </w:p>
    <w:p w14:paraId="23000000">
      <w:pPr>
        <w:pStyle w:val="Style_7"/>
        <w:widowControl w:val="0"/>
        <w:tabs>
          <w:tab w:leader="none" w:pos="10065" w:val="left"/>
        </w:tabs>
        <w:spacing w:line="360" w:lineRule="auto"/>
        <w:ind w:firstLine="567" w:left="0" w:right="-142"/>
        <w:rPr>
          <w:sz w:val="23"/>
        </w:rPr>
      </w:pPr>
      <w:r>
        <w:rPr>
          <w:sz w:val="23"/>
        </w:rPr>
        <w:t>5.2. Любые изменения и дополнения к настоящему Протоколу действительны только в том случае, если они совершены в письменной форме и подписаны Сторонами или надлежащим о</w:t>
      </w:r>
      <w:r>
        <w:rPr>
          <w:sz w:val="23"/>
        </w:rPr>
        <w:t xml:space="preserve">бразом уполномоченными </w:t>
      </w:r>
      <w:r>
        <w:rPr>
          <w:sz w:val="23"/>
        </w:rPr>
        <w:t>на</w:t>
      </w:r>
      <w:r>
        <w:rPr>
          <w:sz w:val="23"/>
        </w:rPr>
        <w:t xml:space="preserve"> то представителями Сторон.</w:t>
      </w:r>
    </w:p>
    <w:p w14:paraId="24000000">
      <w:pPr>
        <w:pStyle w:val="Style_7"/>
        <w:widowControl w:val="0"/>
        <w:tabs>
          <w:tab w:leader="none" w:pos="10065" w:val="left"/>
        </w:tabs>
        <w:spacing w:line="360" w:lineRule="auto"/>
        <w:ind w:firstLine="567" w:left="0" w:right="-142"/>
        <w:rPr>
          <w:sz w:val="23"/>
        </w:rPr>
      </w:pPr>
      <w:r>
        <w:rPr>
          <w:sz w:val="23"/>
        </w:rPr>
        <w:t>5.3. Все уведомления и сообщения должны направляться в письменной форме.</w:t>
      </w:r>
    </w:p>
    <w:p w14:paraId="25000000">
      <w:pPr>
        <w:pStyle w:val="Style_7"/>
        <w:widowControl w:val="0"/>
        <w:tabs>
          <w:tab w:leader="none" w:pos="10065" w:val="left"/>
        </w:tabs>
        <w:spacing w:line="360" w:lineRule="auto"/>
        <w:ind w:firstLine="567" w:left="0" w:right="-142"/>
        <w:rPr>
          <w:sz w:val="23"/>
        </w:rPr>
      </w:pPr>
      <w:r>
        <w:rPr>
          <w:sz w:val="23"/>
        </w:rPr>
        <w:t>5.4. Во всем остальном, что не предусмотрено настоящим Протоколом, Стороны руководствуются федеральным законодательством.</w:t>
      </w:r>
    </w:p>
    <w:p w14:paraId="26000000">
      <w:pPr>
        <w:widowControl w:val="0"/>
        <w:tabs>
          <w:tab w:leader="none" w:pos="10065" w:val="left"/>
        </w:tabs>
        <w:spacing w:line="360" w:lineRule="auto"/>
        <w:ind w:firstLine="567" w:left="0" w:right="-142"/>
        <w:jc w:val="both"/>
        <w:rPr>
          <w:sz w:val="23"/>
        </w:rPr>
      </w:pPr>
      <w:r>
        <w:rPr>
          <w:sz w:val="23"/>
        </w:rPr>
        <w:t>5.5. Все</w:t>
      </w:r>
      <w:r>
        <w:rPr>
          <w:sz w:val="23"/>
        </w:rPr>
        <w:t xml:space="preserve"> споры и разногласия, возникающие между Сторонами по вопросам, не нашедшим своего разрешения в тексте данного Протокола, будут разрешаться путем переговоров на основе федерального законодательства. При не урегулировании в процессе переговоров спорных вопро</w:t>
      </w:r>
      <w:r>
        <w:rPr>
          <w:sz w:val="23"/>
        </w:rPr>
        <w:t>сов, споры разрешаются в суде в порядке, установленном федеральным законодательством.</w:t>
      </w:r>
    </w:p>
    <w:p w14:paraId="27000000">
      <w:pPr>
        <w:widowControl w:val="0"/>
        <w:tabs>
          <w:tab w:leader="none" w:pos="10065" w:val="left"/>
        </w:tabs>
        <w:spacing w:line="360" w:lineRule="auto"/>
        <w:ind w:firstLine="567" w:left="0" w:right="-142"/>
        <w:jc w:val="both"/>
        <w:rPr>
          <w:sz w:val="23"/>
        </w:rPr>
      </w:pPr>
    </w:p>
    <w:p w14:paraId="28000000">
      <w:pPr>
        <w:pStyle w:val="Style_8"/>
        <w:widowControl w:val="0"/>
        <w:tabs>
          <w:tab w:leader="none" w:pos="10065" w:val="left"/>
        </w:tabs>
        <w:spacing w:line="360" w:lineRule="auto"/>
        <w:ind w:right="-142"/>
        <w:jc w:val="center"/>
        <w:rPr>
          <w:sz w:val="23"/>
        </w:rPr>
      </w:pPr>
      <w:r>
        <w:rPr>
          <w:sz w:val="23"/>
        </w:rPr>
        <w:t>VI. Заключительные положения</w:t>
      </w:r>
    </w:p>
    <w:p w14:paraId="29000000">
      <w:pPr>
        <w:pStyle w:val="Style_4"/>
        <w:widowControl w:val="0"/>
        <w:spacing w:line="360" w:lineRule="auto"/>
        <w:ind w:firstLine="567" w:left="0" w:right="-2"/>
        <w:jc w:val="both"/>
        <w:rPr>
          <w:b w:val="0"/>
          <w:sz w:val="23"/>
        </w:rPr>
      </w:pPr>
      <w:r>
        <w:rPr>
          <w:b w:val="0"/>
          <w:sz w:val="23"/>
        </w:rPr>
        <w:t>6.1. Настоящий Договор составлен в четырех экземплярах, имеющих одинаковую юридическую силу, по одному экземпляру для каждой из Сторон, экзе</w:t>
      </w:r>
      <w:r>
        <w:rPr>
          <w:b w:val="0"/>
          <w:sz w:val="23"/>
        </w:rPr>
        <w:t xml:space="preserve">мпляр для Государственного органа, передавшего имущество на реализацию, и экземпляр для Управления Федеральной регистрационной службы по Омской области. </w:t>
      </w:r>
    </w:p>
    <w:p w14:paraId="2A000000">
      <w:pPr>
        <w:pStyle w:val="Style_2"/>
        <w:widowControl w:val="0"/>
        <w:tabs>
          <w:tab w:leader="none" w:pos="10065" w:val="left"/>
        </w:tabs>
        <w:ind w:firstLine="426" w:left="0" w:right="-142"/>
        <w:jc w:val="center"/>
        <w:rPr>
          <w:b w:val="1"/>
          <w:sz w:val="23"/>
        </w:rPr>
      </w:pPr>
    </w:p>
    <w:p w14:paraId="2B000000">
      <w:pPr>
        <w:pStyle w:val="Style_2"/>
        <w:widowControl w:val="0"/>
        <w:tabs>
          <w:tab w:leader="none" w:pos="10065" w:val="left"/>
        </w:tabs>
        <w:ind w:firstLine="426" w:left="0" w:right="-142"/>
        <w:jc w:val="center"/>
        <w:rPr>
          <w:b w:val="1"/>
          <w:sz w:val="23"/>
        </w:rPr>
      </w:pPr>
      <w:r>
        <w:rPr>
          <w:b w:val="1"/>
          <w:sz w:val="23"/>
        </w:rPr>
        <w:t>VII. Место нахождения и реквизиты Сторон</w:t>
      </w:r>
    </w:p>
    <w:p w14:paraId="2C000000">
      <w:pPr>
        <w:pStyle w:val="Style_2"/>
        <w:widowControl w:val="0"/>
        <w:tabs>
          <w:tab w:leader="none" w:pos="10065" w:val="left"/>
        </w:tabs>
        <w:ind w:firstLine="426" w:left="0" w:right="-142"/>
        <w:jc w:val="center"/>
        <w:rPr>
          <w:b w:val="1"/>
          <w:sz w:val="23"/>
        </w:rPr>
      </w:pPr>
    </w:p>
    <w:p w14:paraId="2D000000">
      <w:pPr>
        <w:pStyle w:val="Style_2"/>
        <w:widowControl w:val="0"/>
        <w:tabs>
          <w:tab w:leader="none" w:pos="10065" w:val="left"/>
        </w:tabs>
        <w:ind w:firstLine="426" w:left="0" w:right="-142"/>
        <w:jc w:val="center"/>
        <w:rPr>
          <w:b w:val="1"/>
          <w:sz w:val="23"/>
        </w:rPr>
      </w:pPr>
    </w:p>
    <w:tbl>
      <w:tblPr>
        <w:tblStyle w:val="Style_9"/>
        <w:tblW w:type="auto" w:w="0"/>
        <w:tblInd w:type="dxa" w:w="-17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009"/>
        <w:gridCol w:w="4962"/>
      </w:tblGrid>
      <w:tr>
        <w:tc>
          <w:tcPr>
            <w:tcW w:type="dxa" w:w="5009"/>
            <w:tcBorders>
              <w:top w:sz="4" w:val="nil"/>
              <w:left w:sz="4" w:val="nil"/>
              <w:bottom w:sz="4" w:val="nil"/>
              <w:right w:sz="4" w:val="nil"/>
            </w:tcBorders>
          </w:tcPr>
          <w:p w14:paraId="2E000000">
            <w:pPr>
              <w:pStyle w:val="Style_4"/>
              <w:widowControl w:val="0"/>
              <w:tabs>
                <w:tab w:leader="none" w:pos="10065" w:val="left"/>
              </w:tabs>
              <w:ind w:right="-142"/>
              <w:rPr>
                <w:sz w:val="23"/>
              </w:rPr>
            </w:pPr>
            <w:r>
              <w:rPr>
                <w:sz w:val="23"/>
              </w:rPr>
              <w:t>Продавец</w:t>
            </w:r>
          </w:p>
        </w:tc>
        <w:tc>
          <w:tcPr>
            <w:tcW w:type="dxa" w:w="4962"/>
            <w:tcBorders>
              <w:top w:sz="4" w:val="nil"/>
              <w:left w:sz="4" w:val="nil"/>
              <w:bottom w:sz="4" w:val="nil"/>
              <w:right w:sz="4" w:val="nil"/>
            </w:tcBorders>
          </w:tcPr>
          <w:p w14:paraId="2F000000">
            <w:pPr>
              <w:pStyle w:val="Style_4"/>
              <w:widowControl w:val="0"/>
              <w:tabs>
                <w:tab w:leader="none" w:pos="10065" w:val="left"/>
              </w:tabs>
              <w:ind w:right="132"/>
              <w:rPr>
                <w:sz w:val="23"/>
              </w:rPr>
            </w:pPr>
            <w:r>
              <w:rPr>
                <w:sz w:val="23"/>
              </w:rPr>
              <w:t>Покупатель</w:t>
            </w:r>
          </w:p>
        </w:tc>
      </w:tr>
      <w:tr>
        <w:trPr>
          <w:trHeight w:hRule="atLeast" w:val="1501"/>
        </w:trPr>
        <w:tc>
          <w:tcPr>
            <w:tcW w:type="dxa" w:w="5009"/>
            <w:tcBorders>
              <w:top w:sz="4" w:val="nil"/>
              <w:left w:sz="4" w:val="nil"/>
              <w:bottom w:sz="4" w:val="nil"/>
              <w:right w:sz="4" w:val="nil"/>
            </w:tcBorders>
          </w:tcPr>
          <w:p w14:paraId="30000000">
            <w:pPr>
              <w:pStyle w:val="Style_4"/>
              <w:widowControl w:val="0"/>
              <w:tabs>
                <w:tab w:leader="none" w:pos="10065" w:val="left"/>
              </w:tabs>
              <w:ind/>
              <w:jc w:val="both"/>
              <w:rPr>
                <w:b w:val="0"/>
                <w:i w:val="1"/>
                <w:sz w:val="23"/>
              </w:rPr>
            </w:pPr>
            <w:r>
              <w:rPr>
                <w:b w:val="0"/>
                <w:i w:val="1"/>
                <w:sz w:val="23"/>
              </w:rPr>
              <w:t>Территориальное управление Фе</w:t>
            </w:r>
            <w:r>
              <w:rPr>
                <w:b w:val="0"/>
                <w:i w:val="1"/>
                <w:sz w:val="23"/>
              </w:rPr>
              <w:t xml:space="preserve">дерального агентства по управлению государственным имуществом в Омской области </w:t>
            </w:r>
          </w:p>
          <w:p w14:paraId="31000000">
            <w:pPr>
              <w:widowControl w:val="0"/>
              <w:ind w:firstLine="26" w:left="0"/>
              <w:jc w:val="both"/>
              <w:rPr>
                <w:sz w:val="23"/>
              </w:rPr>
            </w:pPr>
            <w:r>
              <w:rPr>
                <w:sz w:val="23"/>
              </w:rPr>
              <w:t xml:space="preserve">ИНН 5503217827, КПП 550301001 </w:t>
            </w:r>
          </w:p>
          <w:p w14:paraId="32000000">
            <w:pPr>
              <w:pStyle w:val="Style_4"/>
              <w:widowControl w:val="0"/>
              <w:tabs>
                <w:tab w:leader="none" w:pos="10065" w:val="left"/>
              </w:tabs>
              <w:ind/>
              <w:jc w:val="both"/>
              <w:rPr>
                <w:b w:val="0"/>
                <w:sz w:val="23"/>
              </w:rPr>
            </w:pPr>
          </w:p>
          <w:p w14:paraId="33000000">
            <w:pPr>
              <w:pStyle w:val="Style_4"/>
              <w:widowControl w:val="0"/>
              <w:tabs>
                <w:tab w:leader="none" w:pos="10065" w:val="left"/>
              </w:tabs>
              <w:ind/>
              <w:jc w:val="both"/>
              <w:rPr>
                <w:b w:val="0"/>
                <w:sz w:val="23"/>
              </w:rPr>
            </w:pPr>
            <w:r>
              <w:rPr>
                <w:b w:val="0"/>
                <w:sz w:val="23"/>
              </w:rPr>
              <w:t>Адрес: 644043, г. Омск, ул. Тарская, 11</w:t>
            </w:r>
          </w:p>
          <w:p w14:paraId="34000000">
            <w:pPr>
              <w:pStyle w:val="Style_4"/>
              <w:widowControl w:val="0"/>
              <w:tabs>
                <w:tab w:leader="none" w:pos="10065" w:val="left"/>
              </w:tabs>
              <w:ind w:right="192"/>
              <w:jc w:val="both"/>
              <w:rPr>
                <w:sz w:val="23"/>
              </w:rPr>
            </w:pPr>
          </w:p>
        </w:tc>
        <w:tc>
          <w:tcPr>
            <w:tcW w:type="dxa" w:w="4962"/>
            <w:tcBorders>
              <w:top w:sz="4" w:val="nil"/>
              <w:left w:sz="4" w:val="nil"/>
              <w:bottom w:sz="4" w:val="nil"/>
              <w:right w:sz="4" w:val="nil"/>
            </w:tcBorders>
          </w:tcPr>
          <w:p w14:paraId="35000000">
            <w:pPr>
              <w:pStyle w:val="Style_4"/>
              <w:widowControl w:val="0"/>
              <w:tabs>
                <w:tab w:leader="none" w:pos="10065" w:val="left"/>
              </w:tabs>
              <w:ind w:firstLine="0" w:left="318" w:right="132"/>
              <w:jc w:val="both"/>
              <w:rPr>
                <w:b w:val="0"/>
                <w:color w:val="FF0000"/>
                <w:sz w:val="23"/>
              </w:rPr>
            </w:pPr>
          </w:p>
        </w:tc>
      </w:tr>
      <w:tr>
        <w:trPr>
          <w:trHeight w:hRule="atLeast" w:val="80"/>
        </w:trPr>
        <w:tc>
          <w:tcPr>
            <w:tcW w:type="dxa" w:w="5009"/>
            <w:tcBorders>
              <w:top w:sz="4" w:val="nil"/>
              <w:left w:sz="4" w:val="nil"/>
              <w:bottom w:sz="4" w:val="nil"/>
              <w:right w:sz="4" w:val="nil"/>
            </w:tcBorders>
          </w:tcPr>
          <w:p w14:paraId="36000000">
            <w:pPr>
              <w:pStyle w:val="Style_2"/>
              <w:widowControl w:val="0"/>
              <w:tabs>
                <w:tab w:leader="none" w:pos="8876" w:val="left"/>
              </w:tabs>
              <w:ind/>
              <w:jc w:val="left"/>
              <w:rPr>
                <w:i w:val="1"/>
                <w:sz w:val="23"/>
              </w:rPr>
            </w:pPr>
          </w:p>
          <w:p w14:paraId="37000000">
            <w:pPr>
              <w:pStyle w:val="Style_2"/>
              <w:widowControl w:val="0"/>
              <w:tabs>
                <w:tab w:leader="none" w:pos="8876" w:val="left"/>
              </w:tabs>
              <w:ind/>
              <w:jc w:val="left"/>
              <w:rPr>
                <w:i w:val="1"/>
                <w:sz w:val="23"/>
              </w:rPr>
            </w:pPr>
            <w:r>
              <w:rPr>
                <w:i w:val="1"/>
                <w:sz w:val="23"/>
              </w:rPr>
              <w:t xml:space="preserve">______________________ </w:t>
            </w:r>
          </w:p>
        </w:tc>
        <w:tc>
          <w:tcPr>
            <w:tcW w:type="dxa" w:w="4962"/>
            <w:tcBorders>
              <w:top w:sz="4" w:val="nil"/>
              <w:left w:sz="4" w:val="nil"/>
              <w:bottom w:sz="4" w:val="nil"/>
              <w:right w:sz="4" w:val="nil"/>
            </w:tcBorders>
          </w:tcPr>
          <w:p w14:paraId="38000000">
            <w:pPr>
              <w:pStyle w:val="Style_4"/>
              <w:widowControl w:val="0"/>
              <w:tabs>
                <w:tab w:leader="none" w:pos="10065" w:val="left"/>
              </w:tabs>
              <w:ind w:firstLine="0" w:left="114" w:right="-142"/>
              <w:rPr>
                <w:b w:val="0"/>
                <w:i w:val="1"/>
                <w:color w:val="FF0000"/>
                <w:sz w:val="23"/>
              </w:rPr>
            </w:pPr>
          </w:p>
          <w:p w14:paraId="39000000">
            <w:pPr>
              <w:pStyle w:val="Style_4"/>
              <w:widowControl w:val="0"/>
              <w:tabs>
                <w:tab w:leader="none" w:pos="10065" w:val="left"/>
              </w:tabs>
              <w:ind w:firstLine="0" w:left="114" w:right="-142"/>
              <w:rPr>
                <w:b w:val="0"/>
                <w:sz w:val="23"/>
              </w:rPr>
            </w:pPr>
            <w:r>
              <w:rPr>
                <w:b w:val="0"/>
                <w:i w:val="1"/>
                <w:sz w:val="23"/>
              </w:rPr>
              <w:t xml:space="preserve">________________________  </w:t>
            </w:r>
          </w:p>
        </w:tc>
      </w:tr>
    </w:tbl>
    <w:p w14:paraId="3A000000">
      <w:pPr>
        <w:widowControl w:val="0"/>
        <w:ind w:firstLine="0" w:left="5040" w:right="-142"/>
        <w:rPr>
          <w:sz w:val="23"/>
        </w:rPr>
      </w:pPr>
    </w:p>
    <w:p w14:paraId="3B000000">
      <w:pPr>
        <w:widowControl w:val="0"/>
        <w:ind w:firstLine="0" w:left="5040" w:right="-142"/>
        <w:rPr>
          <w:sz w:val="23"/>
        </w:rPr>
      </w:pPr>
    </w:p>
    <w:p w14:paraId="3C000000">
      <w:pPr>
        <w:widowControl w:val="0"/>
        <w:ind w:firstLine="0" w:left="5040" w:right="-142"/>
        <w:rPr>
          <w:sz w:val="23"/>
        </w:rPr>
      </w:pPr>
    </w:p>
    <w:p w14:paraId="3D000000">
      <w:pPr>
        <w:widowControl w:val="0"/>
        <w:ind w:firstLine="0" w:left="5040" w:right="-142"/>
        <w:rPr>
          <w:sz w:val="23"/>
        </w:rPr>
      </w:pPr>
    </w:p>
    <w:p w14:paraId="3E000000">
      <w:pPr>
        <w:widowControl w:val="0"/>
        <w:ind w:firstLine="0" w:left="5040" w:right="-142"/>
        <w:rPr>
          <w:sz w:val="23"/>
        </w:rPr>
      </w:pPr>
    </w:p>
    <w:p w14:paraId="3F000000">
      <w:pPr>
        <w:widowControl w:val="0"/>
        <w:ind w:firstLine="0" w:left="5040" w:right="-142"/>
        <w:rPr>
          <w:sz w:val="23"/>
        </w:rPr>
      </w:pPr>
    </w:p>
    <w:p w14:paraId="40000000">
      <w:pPr>
        <w:widowControl w:val="0"/>
        <w:ind w:firstLine="0" w:left="5040" w:right="-142"/>
        <w:rPr>
          <w:sz w:val="23"/>
        </w:rPr>
      </w:pPr>
    </w:p>
    <w:p w14:paraId="41000000">
      <w:pPr>
        <w:widowControl w:val="0"/>
        <w:ind w:firstLine="0" w:left="5040" w:right="-142"/>
        <w:rPr>
          <w:sz w:val="23"/>
        </w:rPr>
      </w:pPr>
    </w:p>
    <w:p w14:paraId="42000000">
      <w:pPr>
        <w:widowControl w:val="0"/>
        <w:ind w:firstLine="0" w:left="5040" w:right="-142"/>
        <w:rPr>
          <w:sz w:val="23"/>
        </w:rPr>
      </w:pPr>
    </w:p>
    <w:p w14:paraId="43000000">
      <w:pPr>
        <w:widowControl w:val="0"/>
        <w:ind w:firstLine="0" w:left="5040" w:right="-142"/>
        <w:rPr>
          <w:sz w:val="23"/>
        </w:rPr>
      </w:pPr>
    </w:p>
    <w:p w14:paraId="44000000">
      <w:pPr>
        <w:widowControl w:val="0"/>
        <w:ind w:firstLine="0" w:left="5040" w:right="-142"/>
        <w:rPr>
          <w:sz w:val="23"/>
        </w:rPr>
      </w:pPr>
    </w:p>
    <w:p w14:paraId="45000000">
      <w:pPr>
        <w:widowControl w:val="0"/>
        <w:ind w:firstLine="0" w:left="5040" w:right="-142"/>
        <w:rPr>
          <w:sz w:val="23"/>
        </w:rPr>
      </w:pPr>
    </w:p>
    <w:p w14:paraId="46000000">
      <w:pPr>
        <w:widowControl w:val="0"/>
        <w:ind w:firstLine="0" w:left="5040" w:right="-142"/>
        <w:rPr>
          <w:sz w:val="23"/>
        </w:rPr>
      </w:pPr>
    </w:p>
    <w:p w14:paraId="47000000">
      <w:pPr>
        <w:widowControl w:val="0"/>
        <w:ind w:firstLine="0" w:left="5040" w:right="-142"/>
        <w:rPr>
          <w:sz w:val="23"/>
        </w:rPr>
      </w:pPr>
    </w:p>
    <w:p w14:paraId="48000000">
      <w:pPr>
        <w:widowControl w:val="0"/>
        <w:ind w:firstLine="0" w:left="5040" w:right="-142"/>
        <w:rPr>
          <w:sz w:val="23"/>
        </w:rPr>
      </w:pPr>
    </w:p>
    <w:p w14:paraId="49000000">
      <w:pPr>
        <w:widowControl w:val="0"/>
        <w:ind w:firstLine="0" w:left="5040" w:right="-142"/>
        <w:rPr>
          <w:sz w:val="23"/>
        </w:rPr>
      </w:pPr>
    </w:p>
    <w:p w14:paraId="4A000000">
      <w:pPr>
        <w:widowControl w:val="0"/>
        <w:ind w:firstLine="0" w:left="5040" w:right="-142"/>
        <w:rPr>
          <w:sz w:val="23"/>
        </w:rPr>
      </w:pPr>
    </w:p>
    <w:p w14:paraId="4B000000">
      <w:pPr>
        <w:widowControl w:val="0"/>
        <w:ind w:firstLine="0" w:left="5040" w:right="-142"/>
        <w:rPr>
          <w:sz w:val="23"/>
        </w:rPr>
      </w:pPr>
    </w:p>
    <w:p w14:paraId="4C000000">
      <w:pPr>
        <w:widowControl w:val="0"/>
        <w:ind w:firstLine="0" w:left="5040" w:right="-142"/>
        <w:rPr>
          <w:sz w:val="23"/>
        </w:rPr>
      </w:pPr>
    </w:p>
    <w:sectPr>
      <w:pgSz w:h="16838" w:orient="portrait" w:w="11906"/>
      <w:pgMar w:bottom="611" w:footer="720" w:gutter="0" w:header="720" w:left="1134" w:right="849" w:top="611"/>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upperRoman"/>
      <w:lvlText w:val="%1."/>
      <w:lvlJc w:val="left"/>
      <w:pPr>
        <w:widowControl w:val="0"/>
        <w:tabs>
          <w:tab w:leader="none" w:pos="1287" w:val="left"/>
        </w:tabs>
        <w:ind w:hanging="720" w:left="1287"/>
      </w:pPr>
    </w:lvl>
    <w:lvl w:ilvl="1">
      <w:start w:val="1"/>
      <w:numFmt w:val="lowerLetter"/>
      <w:lvlText w:val="%2."/>
      <w:lvlJc w:val="left"/>
      <w:pPr>
        <w:widowControl w:val="0"/>
        <w:tabs>
          <w:tab w:leader="none" w:pos="1647" w:val="left"/>
        </w:tabs>
        <w:ind w:hanging="360" w:left="1647"/>
      </w:pPr>
    </w:lvl>
    <w:lvl w:ilvl="2">
      <w:start w:val="1"/>
      <w:numFmt w:val="lowerRoman"/>
      <w:lvlText w:val="%3."/>
      <w:lvlJc w:val="right"/>
      <w:pPr>
        <w:widowControl w:val="0"/>
        <w:tabs>
          <w:tab w:leader="none" w:pos="2367" w:val="left"/>
        </w:tabs>
        <w:ind w:hanging="180" w:left="2367"/>
      </w:pPr>
    </w:lvl>
    <w:lvl w:ilvl="3">
      <w:start w:val="1"/>
      <w:numFmt w:val="decimal"/>
      <w:lvlText w:val="%4."/>
      <w:lvlJc w:val="left"/>
      <w:pPr>
        <w:widowControl w:val="0"/>
        <w:tabs>
          <w:tab w:leader="none" w:pos="3087" w:val="left"/>
        </w:tabs>
        <w:ind w:hanging="360" w:left="3087"/>
      </w:pPr>
    </w:lvl>
    <w:lvl w:ilvl="4">
      <w:start w:val="1"/>
      <w:numFmt w:val="lowerLetter"/>
      <w:lvlText w:val="%5."/>
      <w:lvlJc w:val="left"/>
      <w:pPr>
        <w:widowControl w:val="0"/>
        <w:tabs>
          <w:tab w:leader="none" w:pos="3807" w:val="left"/>
        </w:tabs>
        <w:ind w:hanging="360" w:left="3807"/>
      </w:pPr>
    </w:lvl>
    <w:lvl w:ilvl="5">
      <w:start w:val="1"/>
      <w:numFmt w:val="lowerRoman"/>
      <w:lvlText w:val="%6."/>
      <w:lvlJc w:val="right"/>
      <w:pPr>
        <w:widowControl w:val="0"/>
        <w:tabs>
          <w:tab w:leader="none" w:pos="4527" w:val="left"/>
        </w:tabs>
        <w:ind w:hanging="180" w:left="4527"/>
      </w:pPr>
    </w:lvl>
    <w:lvl w:ilvl="6">
      <w:start w:val="1"/>
      <w:numFmt w:val="decimal"/>
      <w:lvlText w:val="%7."/>
      <w:lvlJc w:val="left"/>
      <w:pPr>
        <w:widowControl w:val="0"/>
        <w:tabs>
          <w:tab w:leader="none" w:pos="5247" w:val="left"/>
        </w:tabs>
        <w:ind w:hanging="360" w:left="5247"/>
      </w:pPr>
    </w:lvl>
    <w:lvl w:ilvl="7">
      <w:start w:val="1"/>
      <w:numFmt w:val="lowerLetter"/>
      <w:lvlText w:val="%8."/>
      <w:lvlJc w:val="left"/>
      <w:pPr>
        <w:widowControl w:val="0"/>
        <w:tabs>
          <w:tab w:leader="none" w:pos="5967" w:val="left"/>
        </w:tabs>
        <w:ind w:hanging="360" w:left="5967"/>
      </w:pPr>
    </w:lvl>
    <w:lvl w:ilvl="8">
      <w:start w:val="1"/>
      <w:numFmt w:val="lowerRoman"/>
      <w:lvlText w:val="%9."/>
      <w:lvlJc w:val="right"/>
      <w:pPr>
        <w:widowControl w:val="0"/>
        <w:tabs>
          <w:tab w:leader="none" w:pos="6687" w:val="left"/>
        </w:tabs>
        <w:ind w:hanging="180" w:left="6687"/>
      </w:pPr>
    </w:lvl>
  </w:abstractNum>
  <w:num w:numId="1">
    <w:abstractNumId w:val="0"/>
  </w:num>
</w:numbering>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0"/>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style>
  <w:style w:default="1" w:styleId="Style_5_ch" w:type="character">
    <w:name w:val="Normal"/>
    <w:link w:val="Style_5"/>
  </w:style>
  <w:style w:styleId="Style_10" w:type="paragraph">
    <w:name w:val="toc 2"/>
    <w:next w:val="Style_5"/>
    <w:link w:val="Style_10_ch"/>
    <w:uiPriority w:val="39"/>
    <w:pPr>
      <w:widowControl w:val="0"/>
      <w:ind w:firstLine="0" w:left="200"/>
    </w:pPr>
    <w:rPr>
      <w:rFonts w:ascii="XO Thames" w:hAnsi="XO Thames"/>
      <w:sz w:val="28"/>
    </w:rPr>
  </w:style>
  <w:style w:styleId="Style_10_ch" w:type="character">
    <w:name w:val="toc 2"/>
    <w:link w:val="Style_10"/>
    <w:rPr>
      <w:rFonts w:ascii="XO Thames" w:hAnsi="XO Thames"/>
      <w:sz w:val="28"/>
    </w:rPr>
  </w:style>
  <w:style w:styleId="Style_11" w:type="paragraph">
    <w:name w:val="Balloon Text"/>
    <w:basedOn w:val="Style_5"/>
    <w:link w:val="Style_11_ch"/>
    <w:rPr>
      <w:rFonts w:ascii="Tahoma" w:hAnsi="Tahoma"/>
      <w:sz w:val="16"/>
    </w:rPr>
  </w:style>
  <w:style w:styleId="Style_11_ch" w:type="character">
    <w:name w:val="Balloon Text"/>
    <w:basedOn w:val="Style_5_ch"/>
    <w:link w:val="Style_11"/>
    <w:rPr>
      <w:rFonts w:ascii="Tahoma" w:hAnsi="Tahoma"/>
      <w:sz w:val="16"/>
    </w:rPr>
  </w:style>
  <w:style w:styleId="Style_12" w:type="paragraph">
    <w:name w:val="toc 4"/>
    <w:next w:val="Style_5"/>
    <w:link w:val="Style_12_ch"/>
    <w:uiPriority w:val="39"/>
    <w:pPr>
      <w:widowControl w:val="0"/>
      <w:ind w:firstLine="0" w:left="600"/>
    </w:pPr>
    <w:rPr>
      <w:rFonts w:ascii="XO Thames" w:hAnsi="XO Thames"/>
      <w:sz w:val="28"/>
    </w:rPr>
  </w:style>
  <w:style w:styleId="Style_12_ch" w:type="character">
    <w:name w:val="toc 4"/>
    <w:link w:val="Style_12"/>
    <w:rPr>
      <w:rFonts w:ascii="XO Thames" w:hAnsi="XO Thames"/>
      <w:sz w:val="28"/>
    </w:rPr>
  </w:style>
  <w:style w:styleId="Style_13" w:type="paragraph">
    <w:name w:val="Default Paragraph Font"/>
    <w:link w:val="Style_13_ch"/>
  </w:style>
  <w:style w:styleId="Style_13_ch" w:type="character">
    <w:name w:val="Default Paragraph Font"/>
    <w:link w:val="Style_13"/>
  </w:style>
  <w:style w:styleId="Style_14" w:type="paragraph">
    <w:name w:val="toc 6"/>
    <w:next w:val="Style_5"/>
    <w:link w:val="Style_14_ch"/>
    <w:uiPriority w:val="39"/>
    <w:pPr>
      <w:widowControl w:val="0"/>
      <w:ind w:firstLine="0" w:left="1000"/>
    </w:pPr>
    <w:rPr>
      <w:rFonts w:ascii="XO Thames" w:hAnsi="XO Thames"/>
      <w:sz w:val="28"/>
    </w:rPr>
  </w:style>
  <w:style w:styleId="Style_14_ch" w:type="character">
    <w:name w:val="toc 6"/>
    <w:link w:val="Style_14"/>
    <w:rPr>
      <w:rFonts w:ascii="XO Thames" w:hAnsi="XO Thames"/>
      <w:sz w:val="28"/>
    </w:rPr>
  </w:style>
  <w:style w:styleId="Style_15" w:type="paragraph">
    <w:name w:val="toc 7"/>
    <w:next w:val="Style_5"/>
    <w:link w:val="Style_15_ch"/>
    <w:uiPriority w:val="39"/>
    <w:pPr>
      <w:widowControl w:val="0"/>
      <w:ind w:firstLine="0" w:left="1200"/>
    </w:pPr>
    <w:rPr>
      <w:rFonts w:ascii="XO Thames" w:hAnsi="XO Thames"/>
      <w:sz w:val="28"/>
    </w:rPr>
  </w:style>
  <w:style w:styleId="Style_15_ch" w:type="character">
    <w:name w:val="toc 7"/>
    <w:link w:val="Style_15"/>
    <w:rPr>
      <w:rFonts w:ascii="XO Thames" w:hAnsi="XO Thames"/>
      <w:sz w:val="28"/>
    </w:rPr>
  </w:style>
  <w:style w:styleId="Style_3" w:type="paragraph">
    <w:name w:val="Body Text Indent"/>
    <w:basedOn w:val="Style_5"/>
    <w:link w:val="Style_3_ch"/>
    <w:pPr>
      <w:widowControl w:val="0"/>
      <w:ind w:firstLine="567" w:left="0"/>
      <w:jc w:val="both"/>
    </w:pPr>
    <w:rPr>
      <w:sz w:val="24"/>
    </w:rPr>
  </w:style>
  <w:style w:styleId="Style_3_ch" w:type="character">
    <w:name w:val="Body Text Indent"/>
    <w:basedOn w:val="Style_5_ch"/>
    <w:link w:val="Style_3"/>
    <w:rPr>
      <w:sz w:val="24"/>
    </w:rPr>
  </w:style>
  <w:style w:styleId="Style_16" w:type="paragraph">
    <w:name w:val="Endnote"/>
    <w:link w:val="Style_16_ch"/>
    <w:pPr>
      <w:widowControl w:val="0"/>
      <w:ind w:firstLine="851" w:left="0"/>
      <w:jc w:val="both"/>
    </w:pPr>
    <w:rPr>
      <w:rFonts w:ascii="XO Thames" w:hAnsi="XO Thames"/>
      <w:sz w:val="22"/>
    </w:rPr>
  </w:style>
  <w:style w:styleId="Style_16_ch" w:type="character">
    <w:name w:val="Endnote"/>
    <w:link w:val="Style_16"/>
    <w:rPr>
      <w:rFonts w:ascii="XO Thames" w:hAnsi="XO Thames"/>
      <w:sz w:val="22"/>
    </w:rPr>
  </w:style>
  <w:style w:styleId="Style_17" w:type="paragraph">
    <w:name w:val="heading 3"/>
    <w:next w:val="Style_5"/>
    <w:link w:val="Style_17_ch"/>
    <w:uiPriority w:val="9"/>
    <w:qFormat/>
    <w:pPr>
      <w:widowControl w:val="0"/>
      <w:spacing w:after="120" w:before="120"/>
      <w:ind/>
      <w:jc w:val="both"/>
      <w:outlineLvl w:val="2"/>
    </w:pPr>
    <w:rPr>
      <w:rFonts w:ascii="XO Thames" w:hAnsi="XO Thames"/>
      <w:b w:val="1"/>
      <w:sz w:val="26"/>
    </w:rPr>
  </w:style>
  <w:style w:styleId="Style_17_ch" w:type="character">
    <w:name w:val="heading 3"/>
    <w:link w:val="Style_17"/>
    <w:rPr>
      <w:rFonts w:ascii="XO Thames" w:hAnsi="XO Thames"/>
      <w:b w:val="1"/>
      <w:sz w:val="26"/>
    </w:rPr>
  </w:style>
  <w:style w:styleId="Style_2" w:type="paragraph">
    <w:name w:val="Body Text"/>
    <w:basedOn w:val="Style_5"/>
    <w:link w:val="Style_2_ch"/>
    <w:pPr>
      <w:widowControl w:val="0"/>
      <w:ind/>
      <w:jc w:val="both"/>
    </w:pPr>
    <w:rPr>
      <w:sz w:val="24"/>
    </w:rPr>
  </w:style>
  <w:style w:styleId="Style_2_ch" w:type="character">
    <w:name w:val="Body Text"/>
    <w:basedOn w:val="Style_5_ch"/>
    <w:link w:val="Style_2"/>
    <w:rPr>
      <w:sz w:val="24"/>
    </w:rPr>
  </w:style>
  <w:style w:styleId="Style_18" w:type="paragraph">
    <w:name w:val="Обычный1"/>
    <w:link w:val="Style_18_ch"/>
  </w:style>
  <w:style w:styleId="Style_18_ch" w:type="character">
    <w:name w:val="Обычный1"/>
    <w:link w:val="Style_18"/>
  </w:style>
  <w:style w:styleId="Style_6" w:type="paragraph">
    <w:name w:val="Body Text Indent 3"/>
    <w:basedOn w:val="Style_5"/>
    <w:link w:val="Style_6_ch"/>
    <w:pPr>
      <w:widowControl w:val="0"/>
      <w:tabs>
        <w:tab w:leader="none" w:pos="10065" w:val="left"/>
      </w:tabs>
      <w:spacing w:line="360" w:lineRule="auto"/>
      <w:ind w:firstLine="567" w:left="0" w:right="-142"/>
      <w:jc w:val="both"/>
    </w:pPr>
    <w:rPr>
      <w:sz w:val="23"/>
    </w:rPr>
  </w:style>
  <w:style w:styleId="Style_6_ch" w:type="character">
    <w:name w:val="Body Text Indent 3"/>
    <w:basedOn w:val="Style_5_ch"/>
    <w:link w:val="Style_6"/>
    <w:rPr>
      <w:sz w:val="23"/>
    </w:rPr>
  </w:style>
  <w:style w:styleId="Style_19" w:type="paragraph">
    <w:name w:val="Body Text 2"/>
    <w:basedOn w:val="Style_5"/>
    <w:link w:val="Style_19_ch"/>
    <w:pPr>
      <w:widowControl w:val="0"/>
      <w:ind w:right="1699"/>
      <w:jc w:val="both"/>
    </w:pPr>
    <w:rPr>
      <w:sz w:val="19"/>
    </w:rPr>
  </w:style>
  <w:style w:styleId="Style_19_ch" w:type="character">
    <w:name w:val="Body Text 2"/>
    <w:basedOn w:val="Style_5_ch"/>
    <w:link w:val="Style_19"/>
    <w:rPr>
      <w:sz w:val="19"/>
    </w:rPr>
  </w:style>
  <w:style w:styleId="Style_20" w:type="paragraph">
    <w:name w:val="toc 3"/>
    <w:next w:val="Style_5"/>
    <w:link w:val="Style_20_ch"/>
    <w:uiPriority w:val="39"/>
    <w:pPr>
      <w:widowControl w:val="0"/>
      <w:ind w:firstLine="0" w:left="400"/>
    </w:pPr>
    <w:rPr>
      <w:rFonts w:ascii="XO Thames" w:hAnsi="XO Thames"/>
      <w:sz w:val="28"/>
    </w:rPr>
  </w:style>
  <w:style w:styleId="Style_20_ch" w:type="character">
    <w:name w:val="toc 3"/>
    <w:link w:val="Style_20"/>
    <w:rPr>
      <w:rFonts w:ascii="XO Thames" w:hAnsi="XO Thames"/>
      <w:sz w:val="28"/>
    </w:rPr>
  </w:style>
  <w:style w:styleId="Style_21" w:type="paragraph">
    <w:name w:val="heading 5"/>
    <w:next w:val="Style_5"/>
    <w:link w:val="Style_21_ch"/>
    <w:uiPriority w:val="9"/>
    <w:qFormat/>
    <w:pPr>
      <w:widowControl w:val="0"/>
      <w:spacing w:after="120" w:before="120"/>
      <w:ind/>
      <w:jc w:val="both"/>
      <w:outlineLvl w:val="4"/>
    </w:pPr>
    <w:rPr>
      <w:rFonts w:ascii="XO Thames" w:hAnsi="XO Thames"/>
      <w:b w:val="1"/>
      <w:sz w:val="22"/>
    </w:rPr>
  </w:style>
  <w:style w:styleId="Style_21_ch" w:type="character">
    <w:name w:val="heading 5"/>
    <w:link w:val="Style_21"/>
    <w:rPr>
      <w:rFonts w:ascii="XO Thames" w:hAnsi="XO Thames"/>
      <w:b w:val="1"/>
      <w:sz w:val="22"/>
    </w:rPr>
  </w:style>
  <w:style w:styleId="Style_1" w:type="paragraph">
    <w:name w:val="heading 1"/>
    <w:basedOn w:val="Style_5"/>
    <w:next w:val="Style_5"/>
    <w:link w:val="Style_1_ch"/>
    <w:uiPriority w:val="9"/>
    <w:qFormat/>
    <w:pPr>
      <w:keepNext w:val="1"/>
      <w:widowControl w:val="0"/>
      <w:ind/>
      <w:outlineLvl w:val="0"/>
    </w:pPr>
    <w:rPr>
      <w:sz w:val="24"/>
    </w:rPr>
  </w:style>
  <w:style w:styleId="Style_1_ch" w:type="character">
    <w:name w:val="heading 1"/>
    <w:basedOn w:val="Style_5_ch"/>
    <w:link w:val="Style_1"/>
    <w:rPr>
      <w:sz w:val="24"/>
    </w:rPr>
  </w:style>
  <w:style w:styleId="Style_22" w:type="paragraph">
    <w:name w:val="Hyperlink"/>
    <w:link w:val="Style_22_ch"/>
    <w:rPr>
      <w:color w:val="0000FF"/>
      <w:u w:val="single"/>
    </w:rPr>
  </w:style>
  <w:style w:styleId="Style_22_ch" w:type="character">
    <w:name w:val="Hyperlink"/>
    <w:link w:val="Style_22"/>
    <w:rPr>
      <w:color w:val="0000FF"/>
      <w:u w:val="single"/>
    </w:rPr>
  </w:style>
  <w:style w:styleId="Style_23" w:type="paragraph">
    <w:name w:val="Footnote"/>
    <w:link w:val="Style_23_ch"/>
    <w:pPr>
      <w:widowControl w:val="0"/>
      <w:ind w:firstLine="851" w:left="0"/>
      <w:jc w:val="both"/>
    </w:pPr>
    <w:rPr>
      <w:rFonts w:ascii="XO Thames" w:hAnsi="XO Thames"/>
      <w:sz w:val="22"/>
    </w:rPr>
  </w:style>
  <w:style w:styleId="Style_23_ch" w:type="character">
    <w:name w:val="Footnote"/>
    <w:link w:val="Style_23"/>
    <w:rPr>
      <w:rFonts w:ascii="XO Thames" w:hAnsi="XO Thames"/>
      <w:sz w:val="22"/>
    </w:rPr>
  </w:style>
  <w:style w:styleId="Style_24" w:type="paragraph">
    <w:name w:val="toc 1"/>
    <w:next w:val="Style_5"/>
    <w:link w:val="Style_24_ch"/>
    <w:uiPriority w:val="39"/>
    <w:rPr>
      <w:rFonts w:ascii="XO Thames" w:hAnsi="XO Thames"/>
      <w:b w:val="1"/>
      <w:sz w:val="28"/>
    </w:rPr>
  </w:style>
  <w:style w:styleId="Style_24_ch" w:type="character">
    <w:name w:val="toc 1"/>
    <w:link w:val="Style_24"/>
    <w:rPr>
      <w:rFonts w:ascii="XO Thames" w:hAnsi="XO Thames"/>
      <w:b w:val="1"/>
      <w:sz w:val="28"/>
    </w:rPr>
  </w:style>
  <w:style w:styleId="Style_25" w:type="paragraph">
    <w:name w:val="Header and Footer"/>
    <w:link w:val="Style_25_ch"/>
    <w:pPr>
      <w:widowControl w:val="0"/>
      <w:ind/>
      <w:jc w:val="both"/>
    </w:pPr>
    <w:rPr>
      <w:rFonts w:ascii="XO Thames" w:hAnsi="XO Thames"/>
      <w:sz w:val="28"/>
    </w:rPr>
  </w:style>
  <w:style w:styleId="Style_25_ch" w:type="character">
    <w:name w:val="Header and Footer"/>
    <w:link w:val="Style_25"/>
    <w:rPr>
      <w:rFonts w:ascii="XO Thames" w:hAnsi="XO Thames"/>
      <w:sz w:val="28"/>
    </w:rPr>
  </w:style>
  <w:style w:styleId="Style_26" w:type="paragraph">
    <w:name w:val="toc 9"/>
    <w:next w:val="Style_5"/>
    <w:link w:val="Style_26_ch"/>
    <w:uiPriority w:val="39"/>
    <w:pPr>
      <w:widowControl w:val="0"/>
      <w:ind w:firstLine="0" w:left="1600"/>
    </w:pPr>
    <w:rPr>
      <w:rFonts w:ascii="XO Thames" w:hAnsi="XO Thames"/>
      <w:sz w:val="28"/>
    </w:rPr>
  </w:style>
  <w:style w:styleId="Style_26_ch" w:type="character">
    <w:name w:val="toc 9"/>
    <w:link w:val="Style_26"/>
    <w:rPr>
      <w:rFonts w:ascii="XO Thames" w:hAnsi="XO Thames"/>
      <w:sz w:val="28"/>
    </w:rPr>
  </w:style>
  <w:style w:styleId="Style_27" w:type="paragraph">
    <w:name w:val="toc 8"/>
    <w:next w:val="Style_5"/>
    <w:link w:val="Style_27_ch"/>
    <w:uiPriority w:val="39"/>
    <w:pPr>
      <w:widowControl w:val="0"/>
      <w:ind w:firstLine="0" w:left="1400"/>
    </w:pPr>
    <w:rPr>
      <w:rFonts w:ascii="XO Thames" w:hAnsi="XO Thames"/>
      <w:sz w:val="28"/>
    </w:rPr>
  </w:style>
  <w:style w:styleId="Style_27_ch" w:type="character">
    <w:name w:val="toc 8"/>
    <w:link w:val="Style_27"/>
    <w:rPr>
      <w:rFonts w:ascii="XO Thames" w:hAnsi="XO Thames"/>
      <w:sz w:val="28"/>
    </w:rPr>
  </w:style>
  <w:style w:styleId="Style_28" w:type="paragraph">
    <w:name w:val="Гиперссылка1"/>
    <w:link w:val="Style_28_ch"/>
    <w:rPr>
      <w:color w:val="0000FF"/>
      <w:u w:val="single"/>
    </w:rPr>
  </w:style>
  <w:style w:styleId="Style_28_ch" w:type="character">
    <w:name w:val="Гиперссылка1"/>
    <w:link w:val="Style_28"/>
    <w:rPr>
      <w:color w:val="0000FF"/>
      <w:u w:val="single"/>
    </w:rPr>
  </w:style>
  <w:style w:styleId="Style_29" w:type="paragraph">
    <w:name w:val="toc 5"/>
    <w:next w:val="Style_5"/>
    <w:link w:val="Style_29_ch"/>
    <w:uiPriority w:val="39"/>
    <w:pPr>
      <w:widowControl w:val="0"/>
      <w:ind w:firstLine="0" w:left="800"/>
    </w:pPr>
    <w:rPr>
      <w:rFonts w:ascii="XO Thames" w:hAnsi="XO Thames"/>
      <w:sz w:val="28"/>
    </w:rPr>
  </w:style>
  <w:style w:styleId="Style_29_ch" w:type="character">
    <w:name w:val="toc 5"/>
    <w:link w:val="Style_29"/>
    <w:rPr>
      <w:rFonts w:ascii="XO Thames" w:hAnsi="XO Thames"/>
      <w:sz w:val="28"/>
    </w:rPr>
  </w:style>
  <w:style w:styleId="Style_30" w:type="paragraph">
    <w:name w:val="Subtitle"/>
    <w:next w:val="Style_5"/>
    <w:link w:val="Style_30_ch"/>
    <w:uiPriority w:val="11"/>
    <w:qFormat/>
    <w:pPr>
      <w:widowControl w:val="0"/>
      <w:ind/>
      <w:jc w:val="both"/>
    </w:pPr>
    <w:rPr>
      <w:rFonts w:ascii="XO Thames" w:hAnsi="XO Thames"/>
      <w:i w:val="1"/>
      <w:sz w:val="24"/>
    </w:rPr>
  </w:style>
  <w:style w:styleId="Style_30_ch" w:type="character">
    <w:name w:val="Subtitle"/>
    <w:link w:val="Style_30"/>
    <w:rPr>
      <w:rFonts w:ascii="XO Thames" w:hAnsi="XO Thames"/>
      <w:i w:val="1"/>
      <w:sz w:val="24"/>
    </w:rPr>
  </w:style>
  <w:style w:styleId="Style_31" w:type="paragraph">
    <w:name w:val="Знак Знак2 Char Char Знак Знак Char Char Знак Знак Char Char Знак Знак Char Char Знак Знак Char Char Знак Знак Char Char Знак Знак Char Char Знак Знак Char Char"/>
    <w:basedOn w:val="Style_5"/>
    <w:link w:val="Style_31_ch"/>
    <w:pPr>
      <w:widowControl w:val="0"/>
      <w:spacing w:afterAutospacing="on" w:beforeAutospacing="on"/>
      <w:ind/>
    </w:pPr>
    <w:rPr>
      <w:rFonts w:ascii="Tahoma" w:hAnsi="Tahoma"/>
    </w:rPr>
  </w:style>
  <w:style w:styleId="Style_31_ch" w:type="character">
    <w:name w:val="Знак Знак2 Char Char Знак Знак Char Char Знак Знак Char Char Знак Знак Char Char Знак Знак Char Char Знак Знак Char Char Знак Знак Char Char Знак Знак Char Char"/>
    <w:basedOn w:val="Style_5_ch"/>
    <w:link w:val="Style_31"/>
    <w:rPr>
      <w:rFonts w:ascii="Tahoma" w:hAnsi="Tahoma"/>
    </w:rPr>
  </w:style>
  <w:style w:styleId="Style_7" w:type="paragraph">
    <w:name w:val="Body Text Indent 2"/>
    <w:basedOn w:val="Style_5"/>
    <w:link w:val="Style_7_ch"/>
    <w:pPr>
      <w:widowControl w:val="0"/>
      <w:ind w:firstLine="426" w:left="0"/>
      <w:jc w:val="both"/>
    </w:pPr>
    <w:rPr>
      <w:sz w:val="24"/>
    </w:rPr>
  </w:style>
  <w:style w:styleId="Style_7_ch" w:type="character">
    <w:name w:val="Body Text Indent 2"/>
    <w:basedOn w:val="Style_5_ch"/>
    <w:link w:val="Style_7"/>
    <w:rPr>
      <w:sz w:val="24"/>
    </w:rPr>
  </w:style>
  <w:style w:styleId="Style_4" w:type="paragraph">
    <w:name w:val="Title"/>
    <w:basedOn w:val="Style_5"/>
    <w:link w:val="Style_4_ch"/>
    <w:uiPriority w:val="10"/>
    <w:qFormat/>
    <w:pPr>
      <w:widowControl w:val="0"/>
      <w:ind/>
      <w:jc w:val="center"/>
    </w:pPr>
    <w:rPr>
      <w:b w:val="1"/>
      <w:sz w:val="28"/>
    </w:rPr>
  </w:style>
  <w:style w:styleId="Style_4_ch" w:type="character">
    <w:name w:val="Title"/>
    <w:basedOn w:val="Style_5_ch"/>
    <w:link w:val="Style_4"/>
    <w:rPr>
      <w:b w:val="1"/>
      <w:sz w:val="28"/>
    </w:rPr>
  </w:style>
  <w:style w:styleId="Style_32" w:type="paragraph">
    <w:name w:val="heading 4"/>
    <w:next w:val="Style_5"/>
    <w:link w:val="Style_32_ch"/>
    <w:uiPriority w:val="9"/>
    <w:qFormat/>
    <w:pPr>
      <w:widowControl w:val="0"/>
      <w:spacing w:after="120" w:before="120"/>
      <w:ind/>
      <w:jc w:val="both"/>
      <w:outlineLvl w:val="3"/>
    </w:pPr>
    <w:rPr>
      <w:rFonts w:ascii="XO Thames" w:hAnsi="XO Thames"/>
      <w:b w:val="1"/>
      <w:sz w:val="24"/>
    </w:rPr>
  </w:style>
  <w:style w:styleId="Style_32_ch" w:type="character">
    <w:name w:val="heading 4"/>
    <w:link w:val="Style_32"/>
    <w:rPr>
      <w:rFonts w:ascii="XO Thames" w:hAnsi="XO Thames"/>
      <w:b w:val="1"/>
      <w:sz w:val="24"/>
    </w:rPr>
  </w:style>
  <w:style w:styleId="Style_33" w:type="paragraph">
    <w:name w:val="heading 2"/>
    <w:next w:val="Style_5"/>
    <w:link w:val="Style_33_ch"/>
    <w:uiPriority w:val="9"/>
    <w:qFormat/>
    <w:pPr>
      <w:widowControl w:val="0"/>
      <w:spacing w:after="120" w:before="120"/>
      <w:ind/>
      <w:jc w:val="both"/>
      <w:outlineLvl w:val="1"/>
    </w:pPr>
    <w:rPr>
      <w:rFonts w:ascii="XO Thames" w:hAnsi="XO Thames"/>
      <w:b w:val="1"/>
      <w:sz w:val="28"/>
    </w:rPr>
  </w:style>
  <w:style w:styleId="Style_33_ch" w:type="character">
    <w:name w:val="heading 2"/>
    <w:link w:val="Style_33"/>
    <w:rPr>
      <w:rFonts w:ascii="XO Thames" w:hAnsi="XO Thames"/>
      <w:b w:val="1"/>
      <w:sz w:val="28"/>
    </w:rPr>
  </w:style>
  <w:style w:styleId="Style_8" w:type="paragraph">
    <w:name w:val="heading 6"/>
    <w:basedOn w:val="Style_5"/>
    <w:next w:val="Style_5"/>
    <w:link w:val="Style_8_ch"/>
    <w:uiPriority w:val="9"/>
    <w:qFormat/>
    <w:pPr>
      <w:keepNext w:val="1"/>
      <w:widowControl w:val="0"/>
      <w:ind/>
      <w:outlineLvl w:val="5"/>
    </w:pPr>
    <w:rPr>
      <w:b w:val="1"/>
      <w:sz w:val="28"/>
    </w:rPr>
  </w:style>
  <w:style w:styleId="Style_8_ch" w:type="character">
    <w:name w:val="heading 6"/>
    <w:basedOn w:val="Style_5_ch"/>
    <w:link w:val="Style_8"/>
    <w:rPr>
      <w:b w:val="1"/>
      <w:sz w:val="28"/>
    </w:rPr>
  </w:style>
  <w:style w:default="1" w:styleId="Style_9"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WithEffects.xml" Type="http://schemas.microsoft.com/office/2007/relationships/stylesWithEffects"/>
  <Relationship Id="rId1" Target="fontTable.xml" Type="http://schemas.openxmlformats.org/officeDocument/2006/relationships/fontTable"/>
  <Relationship Id="rId7" Target="numbering.xml" Type="http://schemas.openxmlformats.org/officeDocument/2006/relationships/numbering"/>
  <Relationship Id="rId5" Target="webSettings.xml" Type="http://schemas.openxmlformats.org/officeDocument/2006/relationships/webSettings"/>
  <Relationship Id="rId3" Target="styles.xml" Type="http://schemas.openxmlformats.org/officeDocument/2006/relationships/styles"/>
  <Relationship Id="rId2" Target="settings.xml" Type="http://schemas.openxmlformats.org/officeDocument/2006/relationships/settings"/>
  <Relationship Id="rId6" Target="theme/theme1.xml" Type="http://schemas.openxmlformats.org/officeDocument/2006/relationships/theme"/>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MyOffice-CoreFramework-Linux/40-1423.1132.10486.1056.1@caa01adfe7514f7087162c1f43c2b26a8b6911f1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2025-12-04T02:20:00Z</dcterms:created>
  <dcterms:modified xsi:type="dcterms:W3CDTF">2026-10-15T02:56:23Z</dcterms:modified>
</cp:coreProperties>
</file>