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0"/>
        <w:spacing w:line="240" w:lineRule="auto"/>
        <w:ind w:firstLine="567" w:left="0"/>
        <w:jc w:val="center"/>
        <w:rPr>
          <w:b w:val="1"/>
          <w:sz w:val="24"/>
        </w:rPr>
      </w:pPr>
    </w:p>
    <w:p w14:paraId="02000000">
      <w:pPr>
        <w:widowControl w:val="0"/>
        <w:spacing w:line="240" w:lineRule="auto"/>
        <w:ind w:firstLine="567" w:left="0"/>
        <w:jc w:val="center"/>
        <w:rPr>
          <w:b w:val="1"/>
          <w:sz w:val="24"/>
        </w:rPr>
      </w:pPr>
      <w:r>
        <w:rPr>
          <w:b w:val="1"/>
          <w:sz w:val="24"/>
        </w:rPr>
        <w:t>Территориальное управление  Росимущества в Омской области</w:t>
      </w:r>
    </w:p>
    <w:p w14:paraId="03000000">
      <w:pPr>
        <w:widowControl w:val="0"/>
        <w:spacing w:line="240" w:lineRule="auto"/>
        <w:ind w:firstLine="0" w:left="0"/>
        <w:jc w:val="center"/>
        <w:rPr>
          <w:b w:val="1"/>
          <w:i w:val="1"/>
          <w:sz w:val="24"/>
        </w:rPr>
      </w:pPr>
      <w:r>
        <w:rPr>
          <w:b w:val="1"/>
          <w:i w:val="1"/>
          <w:sz w:val="24"/>
        </w:rPr>
        <w:t xml:space="preserve">объявляет о проведении торгов </w:t>
      </w:r>
    </w:p>
    <w:p w14:paraId="04000000">
      <w:pPr>
        <w:widowControl w:val="0"/>
        <w:spacing w:line="240" w:lineRule="auto"/>
        <w:ind w:firstLine="0" w:left="0"/>
        <w:jc w:val="center"/>
        <w:rPr>
          <w:b w:val="1"/>
          <w:i w:val="1"/>
          <w:sz w:val="24"/>
        </w:rPr>
      </w:pPr>
      <w:r>
        <w:rPr>
          <w:b w:val="1"/>
          <w:i w:val="1"/>
          <w:sz w:val="24"/>
        </w:rPr>
        <w:t>(в форме электронного аукциона, открытого по составу участников и форме подачи предложения о цене)</w:t>
      </w:r>
    </w:p>
    <w:p w14:paraId="05000000">
      <w:pPr>
        <w:widowControl w:val="0"/>
        <w:spacing w:line="240" w:lineRule="auto"/>
        <w:ind w:firstLine="567" w:left="0"/>
        <w:jc w:val="center"/>
        <w:rPr>
          <w:b w:val="1"/>
          <w:i w:val="1"/>
          <w:sz w:val="24"/>
        </w:rPr>
      </w:pPr>
      <w:r>
        <w:rPr>
          <w:b w:val="1"/>
          <w:i w:val="1"/>
          <w:sz w:val="24"/>
        </w:rPr>
        <w:t xml:space="preserve">по поручению </w:t>
      </w:r>
      <w:r>
        <w:rPr>
          <w:b w:val="1"/>
          <w:i w:val="1"/>
          <w:sz w:val="24"/>
        </w:rPr>
        <w:t>Г</w:t>
      </w:r>
      <w:r>
        <w:rPr>
          <w:b w:val="1"/>
          <w:i w:val="1"/>
          <w:sz w:val="24"/>
        </w:rPr>
        <w:t xml:space="preserve">УФССП России по Омской области </w:t>
      </w:r>
    </w:p>
    <w:p w14:paraId="06000000">
      <w:pPr>
        <w:widowControl w:val="0"/>
        <w:spacing w:line="240" w:lineRule="auto"/>
        <w:ind w:firstLine="567" w:left="0"/>
        <w:jc w:val="center"/>
        <w:rPr>
          <w:b w:val="1"/>
          <w:sz w:val="24"/>
        </w:rPr>
      </w:pPr>
      <w:r>
        <w:rPr>
          <w:b w:val="1"/>
          <w:sz w:val="24"/>
        </w:rPr>
        <w:t>Продавец</w:t>
      </w:r>
      <w:r>
        <w:rPr>
          <w:b w:val="1"/>
          <w:sz w:val="24"/>
        </w:rPr>
        <w:t xml:space="preserve"> – </w:t>
      </w:r>
      <w:r>
        <w:rPr>
          <w:b w:val="1"/>
          <w:sz w:val="24"/>
        </w:rPr>
        <w:t>ТУ</w:t>
      </w:r>
      <w:r>
        <w:rPr>
          <w:b w:val="1"/>
          <w:sz w:val="24"/>
        </w:rPr>
        <w:t xml:space="preserve"> </w:t>
      </w:r>
      <w:r>
        <w:rPr>
          <w:b w:val="1"/>
          <w:sz w:val="24"/>
        </w:rPr>
        <w:t>Росимущества в Омской области</w:t>
      </w:r>
    </w:p>
    <w:p w14:paraId="07000000">
      <w:pPr>
        <w:widowControl w:val="0"/>
        <w:spacing w:line="240" w:lineRule="auto"/>
        <w:ind w:firstLine="567" w:left="0"/>
        <w:jc w:val="center"/>
        <w:rPr>
          <w:b w:val="1"/>
          <w:sz w:val="24"/>
        </w:rPr>
      </w:pPr>
      <w:r>
        <w:rPr>
          <w:b w:val="1"/>
          <w:sz w:val="24"/>
        </w:rPr>
        <w:t xml:space="preserve"> (г. Омск, ул. Тарская, 11, каб. 622, тел. 8 (3812) 24-73-89, добавочный 306)</w:t>
      </w:r>
    </w:p>
    <w:p w14:paraId="08000000">
      <w:pPr>
        <w:widowControl w:val="0"/>
        <w:spacing w:line="240" w:lineRule="auto"/>
        <w:ind w:firstLine="567" w:left="0"/>
        <w:jc w:val="center"/>
        <w:rPr>
          <w:b w:val="1"/>
          <w:sz w:val="24"/>
        </w:rPr>
      </w:pPr>
    </w:p>
    <w:p w14:paraId="09000000">
      <w:pPr>
        <w:widowControl w:val="0"/>
        <w:spacing w:line="0" w:lineRule="atLeast"/>
        <w:ind w:firstLine="0" w:left="0"/>
        <w:jc w:val="center"/>
        <w:rPr>
          <w:b w:val="1"/>
          <w:sz w:val="24"/>
        </w:rPr>
      </w:pPr>
      <w:r>
        <w:rPr>
          <w:b w:val="1"/>
          <w:sz w:val="24"/>
        </w:rPr>
        <w:t xml:space="preserve">Торги проходят на </w:t>
      </w:r>
      <w:r>
        <w:rPr>
          <w:b w:val="1"/>
          <w:sz w:val="24"/>
          <w:u w:val="single"/>
        </w:rPr>
        <w:t>электронной</w:t>
      </w:r>
      <w:r>
        <w:rPr>
          <w:b w:val="1"/>
          <w:sz w:val="24"/>
          <w:u w:val="single"/>
        </w:rPr>
        <w:t xml:space="preserve"> торговой пл</w:t>
      </w:r>
      <w:r>
        <w:rPr>
          <w:b w:val="1"/>
          <w:sz w:val="24"/>
          <w:u w:val="single"/>
        </w:rPr>
        <w:t>ощадке</w:t>
      </w:r>
      <w:r>
        <w:rPr>
          <w:b w:val="1"/>
          <w:sz w:val="24"/>
          <w:u w:val="single"/>
        </w:rPr>
        <w:t xml:space="preserve"> АО «</w:t>
      </w:r>
      <w:r>
        <w:rPr>
          <w:b w:val="1"/>
          <w:sz w:val="24"/>
          <w:u w:val="single"/>
        </w:rPr>
        <w:t>Российский аукционный дом</w:t>
      </w:r>
      <w:r>
        <w:rPr>
          <w:b w:val="1"/>
          <w:sz w:val="24"/>
          <w:u w:val="single"/>
        </w:rPr>
        <w:t>»</w:t>
      </w:r>
      <w:r>
        <w:rPr>
          <w:b w:val="1"/>
          <w:u w:val="single"/>
        </w:rPr>
        <w:t xml:space="preserve"> </w:t>
      </w:r>
      <w:r>
        <w:rPr>
          <w:b w:val="1"/>
          <w:sz w:val="24"/>
          <w:u w:val="single"/>
        </w:rPr>
        <w:t>(</w:t>
      </w:r>
      <w:r>
        <w:rPr>
          <w:b w:val="1"/>
          <w:sz w:val="24"/>
          <w:u w:val="single"/>
        </w:rPr>
        <w:t>ЭТП АО «РАД»</w:t>
      </w:r>
      <w:r>
        <w:rPr>
          <w:b w:val="1"/>
          <w:sz w:val="24"/>
          <w:u w:val="single"/>
        </w:rPr>
        <w:t>)</w:t>
      </w:r>
      <w:r>
        <w:rPr>
          <w:b w:val="1"/>
          <w:sz w:val="24"/>
          <w:u w:val="single"/>
        </w:rPr>
        <w:t>, находящейся в сети интернет по адресу</w:t>
      </w:r>
      <w:r>
        <w:rPr>
          <w:b w:val="1"/>
          <w:sz w:val="24"/>
        </w:rPr>
        <w:t xml:space="preserve">: </w:t>
      </w:r>
      <w:r>
        <w:rPr>
          <w:b w:val="1"/>
          <w:sz w:val="24"/>
        </w:rPr>
        <w:t>https://lot-online.ru/</w:t>
      </w:r>
      <w:r>
        <w:rPr>
          <w:b w:val="1"/>
          <w:sz w:val="24"/>
        </w:rPr>
        <w:t>, в соответствии с Регламентом</w:t>
      </w:r>
      <w:r>
        <w:rPr>
          <w:b w:val="1"/>
          <w:sz w:val="24"/>
        </w:rPr>
        <w:t xml:space="preserve"> и И</w:t>
      </w:r>
      <w:r>
        <w:rPr>
          <w:b w:val="1"/>
          <w:sz w:val="24"/>
        </w:rPr>
        <w:t>нструкцией</w:t>
      </w:r>
      <w:r>
        <w:rPr>
          <w:b w:val="1"/>
          <w:sz w:val="24"/>
        </w:rPr>
        <w:t xml:space="preserve"> </w:t>
      </w:r>
      <w:r>
        <w:rPr>
          <w:b w:val="1"/>
          <w:sz w:val="24"/>
        </w:rPr>
        <w:t>ЭТП АО «РАД»</w:t>
      </w:r>
      <w:r>
        <w:rPr>
          <w:b w:val="1"/>
          <w:sz w:val="24"/>
        </w:rPr>
        <w:t>.</w:t>
      </w:r>
    </w:p>
    <w:p w14:paraId="0A000000">
      <w:pPr>
        <w:widowControl w:val="0"/>
        <w:spacing w:line="240" w:lineRule="auto"/>
        <w:ind w:firstLine="567" w:left="0"/>
        <w:jc w:val="both"/>
        <w:rPr>
          <w:b w:val="1"/>
          <w:sz w:val="22"/>
        </w:rPr>
      </w:pPr>
    </w:p>
    <w:p w14:paraId="0B000000">
      <w:pPr>
        <w:widowControl w:val="0"/>
        <w:spacing w:line="240" w:lineRule="auto"/>
        <w:ind w:firstLine="567" w:left="0"/>
        <w:jc w:val="center"/>
        <w:rPr>
          <w:b w:val="1"/>
        </w:rPr>
      </w:pPr>
      <w:r>
        <w:rPr>
          <w:b w:val="1"/>
        </w:rPr>
        <w:t xml:space="preserve">Дата проведения </w:t>
      </w:r>
      <w:r>
        <w:rPr>
          <w:b w:val="1"/>
        </w:rPr>
        <w:t xml:space="preserve">аукционов </w:t>
      </w:r>
      <w:r>
        <w:rPr>
          <w:b w:val="1"/>
        </w:rPr>
        <w:t>по реализации арестованного недвижимого заложенного имущества</w:t>
      </w:r>
    </w:p>
    <w:p w14:paraId="0C000000">
      <w:pPr>
        <w:widowControl w:val="0"/>
        <w:spacing w:line="240" w:lineRule="auto"/>
        <w:ind w:firstLine="567" w:left="0"/>
        <w:jc w:val="center"/>
        <w:rPr>
          <w:b w:val="1"/>
          <w:color w:val="FF0000"/>
        </w:rPr>
      </w:pPr>
      <w:r>
        <w:rPr>
          <w:b w:val="1"/>
          <w:color w:val="FF0000"/>
        </w:rPr>
        <w:t>– 19 ноября</w:t>
      </w:r>
      <w:r>
        <w:rPr>
          <w:b w:val="1"/>
          <w:color w:val="FF0000"/>
        </w:rPr>
        <w:t xml:space="preserve"> </w:t>
      </w:r>
      <w:r>
        <w:rPr>
          <w:b w:val="1"/>
          <w:color w:val="FF0000"/>
        </w:rPr>
        <w:t>2026</w:t>
      </w:r>
      <w:r>
        <w:rPr>
          <w:b w:val="1"/>
          <w:color w:val="FF0000"/>
        </w:rPr>
        <w:t xml:space="preserve"> г. в 07</w:t>
      </w:r>
      <w:r>
        <w:rPr>
          <w:b w:val="1"/>
          <w:color w:val="FF0000"/>
        </w:rPr>
        <w:t>-00 (время московское)</w:t>
      </w:r>
    </w:p>
    <w:p w14:paraId="0D000000">
      <w:pPr>
        <w:widowControl w:val="0"/>
        <w:spacing w:line="240" w:lineRule="auto"/>
        <w:ind w:firstLine="567" w:left="0"/>
        <w:jc w:val="center"/>
        <w:rPr>
          <w:b w:val="1"/>
          <w:color w:val="FF0000"/>
        </w:rPr>
      </w:pPr>
    </w:p>
    <w:tbl>
      <w:tblPr>
        <w:tblStyle w:val="Style_1"/>
        <w:tblW w:type="auto" w:w="0"/>
        <w:tblInd w:type="dxa" w:w="9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984"/>
        <w:gridCol w:w="4110"/>
        <w:gridCol w:w="2127"/>
        <w:gridCol w:w="1417"/>
        <w:gridCol w:w="1134"/>
        <w:gridCol w:w="1276"/>
        <w:gridCol w:w="1276"/>
      </w:tblGrid>
      <w:tr>
        <w:trPr>
          <w:trHeight w:hRule="atLeast" w:val="752"/>
        </w:trPr>
        <w:tc>
          <w:tcPr>
            <w:tcW w:type="dxa" w:w="3984"/>
            <w:tcBorders>
              <w:top w:color="000000" w:sz="4" w:val="single"/>
              <w:left w:color="000000" w:sz="4" w:val="single"/>
              <w:bottom w:color="000000" w:sz="4" w:val="single"/>
              <w:right w:color="000000" w:sz="4" w:val="single"/>
            </w:tcBorders>
            <w:shd w:fill="BFBFBF" w:val="clear"/>
          </w:tcPr>
          <w:p w14:paraId="0E000000">
            <w:pPr>
              <w:widowControl w:val="0"/>
              <w:spacing w:line="240" w:lineRule="auto"/>
              <w:ind w:firstLine="0" w:left="0"/>
              <w:jc w:val="center"/>
              <w:rPr>
                <w:b w:val="1"/>
                <w:sz w:val="22"/>
              </w:rPr>
            </w:pPr>
            <w:r>
              <w:rPr>
                <w:b w:val="1"/>
                <w:sz w:val="22"/>
              </w:rPr>
              <w:t xml:space="preserve">Объект продажи </w:t>
            </w:r>
          </w:p>
        </w:tc>
        <w:tc>
          <w:tcPr>
            <w:tcW w:type="dxa" w:w="4110"/>
            <w:tcBorders>
              <w:top w:color="000000" w:sz="4" w:val="single"/>
              <w:left w:color="000000" w:sz="4" w:val="single"/>
              <w:bottom w:color="000000" w:sz="4" w:val="single"/>
              <w:right w:color="000000" w:sz="4" w:val="single"/>
            </w:tcBorders>
            <w:shd w:fill="BFBFBF" w:val="clear"/>
          </w:tcPr>
          <w:p w14:paraId="0F000000">
            <w:pPr>
              <w:widowControl w:val="0"/>
              <w:spacing w:line="240" w:lineRule="auto"/>
              <w:ind w:firstLine="0" w:left="0"/>
              <w:jc w:val="center"/>
              <w:rPr>
                <w:b w:val="1"/>
                <w:sz w:val="22"/>
              </w:rPr>
            </w:pPr>
            <w:r>
              <w:rPr>
                <w:b w:val="1"/>
                <w:sz w:val="22"/>
              </w:rPr>
              <w:t>Адрес</w:t>
            </w:r>
          </w:p>
        </w:tc>
        <w:tc>
          <w:tcPr>
            <w:tcW w:type="dxa" w:w="2127"/>
            <w:tcBorders>
              <w:top w:color="000000" w:sz="4" w:val="single"/>
              <w:left w:color="000000" w:sz="4" w:val="single"/>
              <w:bottom w:color="000000" w:sz="4" w:val="single"/>
              <w:right w:color="000000" w:sz="4" w:val="single"/>
            </w:tcBorders>
            <w:shd w:fill="BFBFBF" w:val="clear"/>
          </w:tcPr>
          <w:p w14:paraId="10000000">
            <w:pPr>
              <w:widowControl w:val="0"/>
              <w:spacing w:line="240" w:lineRule="auto"/>
              <w:ind w:firstLine="0" w:left="0"/>
              <w:jc w:val="center"/>
              <w:rPr>
                <w:b w:val="1"/>
                <w:sz w:val="22"/>
              </w:rPr>
            </w:pPr>
            <w:r>
              <w:rPr>
                <w:b w:val="1"/>
                <w:sz w:val="22"/>
              </w:rPr>
              <w:t>Собственник (должник)</w:t>
            </w:r>
          </w:p>
        </w:tc>
        <w:tc>
          <w:tcPr>
            <w:tcW w:type="dxa" w:w="1417"/>
            <w:tcBorders>
              <w:top w:color="000000" w:sz="4" w:val="single"/>
              <w:left w:color="000000" w:sz="4" w:val="single"/>
              <w:bottom w:color="000000" w:sz="4" w:val="single"/>
              <w:right w:color="000000" w:sz="4" w:val="single"/>
            </w:tcBorders>
            <w:shd w:fill="BFBFBF" w:val="clear"/>
          </w:tcPr>
          <w:p w14:paraId="11000000">
            <w:pPr>
              <w:widowControl w:val="0"/>
              <w:spacing w:line="240" w:lineRule="auto"/>
              <w:ind w:firstLine="0" w:left="0"/>
              <w:jc w:val="center"/>
              <w:rPr>
                <w:b w:val="1"/>
                <w:sz w:val="22"/>
              </w:rPr>
            </w:pPr>
            <w:r>
              <w:rPr>
                <w:b w:val="1"/>
                <w:sz w:val="22"/>
              </w:rPr>
              <w:t>Начальная цена (руб.)</w:t>
            </w:r>
          </w:p>
        </w:tc>
        <w:tc>
          <w:tcPr>
            <w:tcW w:type="dxa" w:w="1134"/>
            <w:tcBorders>
              <w:top w:color="000000" w:sz="4" w:val="single"/>
              <w:left w:color="000000" w:sz="4" w:val="single"/>
              <w:bottom w:color="000000" w:sz="4" w:val="single"/>
              <w:right w:color="000000" w:sz="4" w:val="single"/>
            </w:tcBorders>
            <w:shd w:fill="BFBFBF" w:val="clear"/>
          </w:tcPr>
          <w:p w14:paraId="12000000">
            <w:pPr>
              <w:widowControl w:val="0"/>
              <w:spacing w:line="240" w:lineRule="auto"/>
              <w:ind w:firstLine="0" w:left="0"/>
              <w:jc w:val="center"/>
              <w:rPr>
                <w:b w:val="1"/>
                <w:sz w:val="22"/>
              </w:rPr>
            </w:pPr>
            <w:r>
              <w:rPr>
                <w:b w:val="1"/>
                <w:sz w:val="22"/>
              </w:rPr>
              <w:t>Задаток (руб.)</w:t>
            </w:r>
          </w:p>
        </w:tc>
        <w:tc>
          <w:tcPr>
            <w:tcW w:type="dxa" w:w="1276"/>
            <w:tcBorders>
              <w:top w:color="000000" w:sz="4" w:val="single"/>
              <w:left w:color="000000" w:sz="4" w:val="single"/>
              <w:bottom w:color="000000" w:sz="4" w:val="single"/>
              <w:right w:color="000000" w:sz="4" w:val="single"/>
            </w:tcBorders>
            <w:shd w:fill="BFBFBF" w:val="clear"/>
          </w:tcPr>
          <w:p w14:paraId="13000000">
            <w:pPr>
              <w:widowControl w:val="0"/>
              <w:spacing w:line="240" w:lineRule="auto"/>
              <w:ind w:firstLine="0" w:left="0"/>
              <w:jc w:val="center"/>
              <w:rPr>
                <w:b w:val="1"/>
                <w:sz w:val="22"/>
              </w:rPr>
            </w:pPr>
            <w:r>
              <w:rPr>
                <w:b w:val="1"/>
                <w:sz w:val="22"/>
              </w:rPr>
              <w:t>Шаг аукциона (руб.)</w:t>
            </w:r>
          </w:p>
        </w:tc>
        <w:tc>
          <w:tcPr>
            <w:tcW w:type="dxa" w:w="1276"/>
            <w:tcBorders>
              <w:top w:color="000000" w:sz="4" w:val="single"/>
              <w:left w:color="000000" w:sz="4" w:val="single"/>
              <w:bottom w:color="000000" w:sz="4" w:val="single"/>
              <w:right w:color="000000" w:sz="4" w:val="single"/>
            </w:tcBorders>
            <w:shd w:fill="BFBFBF" w:val="clear"/>
          </w:tcPr>
          <w:p w14:paraId="14000000">
            <w:pPr>
              <w:widowControl w:val="0"/>
              <w:spacing w:line="240" w:lineRule="auto"/>
              <w:ind w:firstLine="0" w:left="0"/>
              <w:jc w:val="center"/>
              <w:rPr>
                <w:b w:val="1"/>
                <w:sz w:val="22"/>
              </w:rPr>
            </w:pPr>
            <w:r>
              <w:rPr>
                <w:b w:val="1"/>
                <w:sz w:val="22"/>
              </w:rPr>
              <w:t xml:space="preserve">№ </w:t>
            </w:r>
          </w:p>
          <w:p w14:paraId="15000000">
            <w:pPr>
              <w:widowControl w:val="0"/>
              <w:spacing w:line="240" w:lineRule="auto"/>
              <w:ind w:firstLine="0" w:left="0"/>
              <w:jc w:val="center"/>
              <w:rPr>
                <w:b w:val="1"/>
                <w:sz w:val="22"/>
              </w:rPr>
            </w:pPr>
            <w:r>
              <w:rPr>
                <w:b w:val="1"/>
                <w:sz w:val="22"/>
              </w:rPr>
              <w:t>Лота</w:t>
            </w:r>
          </w:p>
        </w:tc>
      </w:tr>
      <w:tr>
        <w:trPr>
          <w:trHeight w:hRule="atLeast" w:val="472"/>
        </w:trPr>
        <w:tc>
          <w:tcPr>
            <w:tcW w:type="dxa" w:w="3984"/>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16000000">
            <w:pPr>
              <w:pStyle w:val="Style_2"/>
              <w:widowControl w:val="0"/>
              <w:tabs>
                <w:tab w:leader="none" w:pos="191" w:val="left"/>
                <w:tab w:leader="none" w:pos="1592" w:val="center"/>
              </w:tabs>
              <w:spacing w:line="240" w:lineRule="auto"/>
              <w:ind w:firstLine="0" w:left="0"/>
              <w:rPr>
                <w:rFonts w:ascii="Times New Roman" w:hAnsi="Times New Roman"/>
                <w:sz w:val="22"/>
              </w:rPr>
            </w:pPr>
            <w:r>
              <w:rPr>
                <w:sz w:val="22"/>
              </w:rPr>
              <w:t xml:space="preserve">Земельный участок, площадью 1000 кв.м., кадастровый номер 55:20:110601:7361, земли населенных пунктов, для размещения дома индивидуальной жилой застройки. </w:t>
            </w:r>
            <w:r>
              <w:rPr>
                <w:rFonts w:ascii="Times New Roman" w:hAnsi="Times New Roman"/>
                <w:sz w:val="22"/>
              </w:rPr>
              <w:t>Ограничения прав на земельный участок, предусмотренные ст. 56 Земельного кодекса Российской Федерации</w:t>
            </w:r>
          </w:p>
        </w:tc>
        <w:tc>
          <w:tcPr>
            <w:tcW w:type="dxa" w:w="411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7000000">
            <w:pPr>
              <w:widowControl w:val="0"/>
              <w:tabs>
                <w:tab w:leader="none" w:pos="191" w:val="left"/>
                <w:tab w:leader="none" w:pos="1592" w:val="center"/>
              </w:tabs>
              <w:spacing w:line="240" w:lineRule="auto"/>
              <w:ind w:firstLine="0" w:left="0"/>
              <w:jc w:val="center"/>
              <w:rPr>
                <w:sz w:val="22"/>
              </w:rPr>
            </w:pPr>
            <w:r>
              <w:rPr>
                <w:rFonts w:ascii="Times New Roman" w:hAnsi="Times New Roman"/>
                <w:sz w:val="22"/>
              </w:rPr>
              <w:tab/>
            </w:r>
            <w:r>
              <w:rPr>
                <w:rFonts w:ascii="Times New Roman" w:hAnsi="Times New Roman"/>
                <w:sz w:val="22"/>
              </w:rPr>
              <w:t>местоположение установлено относительно ориентира, расположенного за пределами участка. Ориентир – жилой дом. Участок находится примерно в 692 м, по направлению на северо-запад от ориентира. Почтовый адрес ориентира:</w:t>
            </w:r>
            <w:r>
              <w:rPr>
                <w:rFonts w:ascii="Times New Roman" w:hAnsi="Times New Roman"/>
                <w:sz w:val="22"/>
              </w:rPr>
              <w:t xml:space="preserve">Омская обл., </w:t>
            </w:r>
            <w:r>
              <w:rPr>
                <w:rFonts w:ascii="Times New Roman" w:hAnsi="Times New Roman"/>
                <w:sz w:val="22"/>
              </w:rPr>
              <w:t>Омски</w:t>
            </w:r>
            <w:r>
              <w:rPr>
                <w:sz w:val="22"/>
              </w:rPr>
              <w:t>й р-н, п. Магистральный, ул. Луговая, д. 35</w:t>
            </w:r>
          </w:p>
        </w:tc>
        <w:tc>
          <w:tcPr>
            <w:tcW w:type="dxa" w:w="212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8000000">
            <w:pPr>
              <w:pStyle w:val="Style_2"/>
              <w:widowControl w:val="0"/>
              <w:tabs>
                <w:tab w:leader="none" w:pos="191" w:val="left"/>
                <w:tab w:leader="none" w:pos="1592" w:val="center"/>
              </w:tabs>
              <w:spacing w:line="240" w:lineRule="auto"/>
              <w:ind w:firstLine="0" w:left="0"/>
              <w:jc w:val="center"/>
              <w:rPr>
                <w:rFonts w:ascii="Times New Roman" w:hAnsi="Times New Roman"/>
                <w:sz w:val="22"/>
              </w:rPr>
            </w:pPr>
            <w:r>
              <w:rPr>
                <w:rFonts w:ascii="Times New Roman" w:hAnsi="Times New Roman"/>
                <w:sz w:val="22"/>
              </w:rPr>
              <w:t>Сергеева Т.А.</w:t>
            </w:r>
          </w:p>
        </w:tc>
        <w:tc>
          <w:tcPr>
            <w:tcW w:type="dxa" w:w="141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9000000">
            <w:pPr>
              <w:widowControl w:val="0"/>
              <w:spacing w:line="240" w:lineRule="auto"/>
              <w:ind w:firstLine="0" w:left="-108"/>
              <w:jc w:val="center"/>
              <w:rPr>
                <w:sz w:val="22"/>
              </w:rPr>
            </w:pPr>
            <w:r>
              <w:rPr>
                <w:sz w:val="22"/>
              </w:rPr>
              <w:t>457 200</w:t>
            </w:r>
          </w:p>
        </w:tc>
        <w:tc>
          <w:tcPr>
            <w:tcW w:type="dxa" w:w="113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A000000">
            <w:pPr>
              <w:widowControl w:val="0"/>
              <w:spacing w:line="240" w:lineRule="auto"/>
              <w:ind w:firstLine="0" w:left="-108"/>
              <w:jc w:val="center"/>
              <w:rPr>
                <w:sz w:val="22"/>
              </w:rPr>
            </w:pPr>
            <w:r>
              <w:rPr>
                <w:sz w:val="22"/>
              </w:rPr>
              <w:t>22 000</w:t>
            </w:r>
          </w:p>
        </w:tc>
        <w:tc>
          <w:tcPr>
            <w:tcW w:type="dxa" w:w="12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B000000">
            <w:pPr>
              <w:widowControl w:val="0"/>
              <w:spacing w:line="240" w:lineRule="auto"/>
              <w:ind w:firstLine="0" w:left="-108"/>
              <w:jc w:val="center"/>
              <w:rPr>
                <w:sz w:val="22"/>
              </w:rPr>
            </w:pPr>
            <w:r>
              <w:rPr>
                <w:sz w:val="22"/>
              </w:rPr>
              <w:t>20 000</w:t>
            </w:r>
          </w:p>
        </w:tc>
        <w:tc>
          <w:tcPr>
            <w:tcW w:type="dxa" w:w="12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C000000">
            <w:pPr>
              <w:widowControl w:val="0"/>
              <w:ind w:firstLine="0" w:left="0"/>
              <w:jc w:val="center"/>
              <w:rPr>
                <w:sz w:val="22"/>
              </w:rPr>
            </w:pPr>
            <w:r>
              <w:rPr>
                <w:sz w:val="22"/>
              </w:rPr>
              <w:t>10463</w:t>
            </w:r>
          </w:p>
        </w:tc>
      </w:tr>
      <w:tr>
        <w:trPr>
          <w:trHeight w:hRule="atLeast" w:val="808"/>
        </w:trPr>
        <w:tc>
          <w:tcPr>
            <w:tcW w:type="dxa" w:w="3984"/>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1D000000">
            <w:pPr>
              <w:pStyle w:val="Style_2"/>
              <w:widowControl w:val="0"/>
              <w:tabs>
                <w:tab w:leader="none" w:pos="191" w:val="left"/>
                <w:tab w:leader="none" w:pos="1592" w:val="center"/>
              </w:tabs>
              <w:spacing w:line="240" w:lineRule="auto"/>
              <w:ind w:firstLine="0" w:left="0"/>
              <w:rPr>
                <w:sz w:val="22"/>
              </w:rPr>
            </w:pPr>
            <w:r>
              <w:rPr>
                <w:sz w:val="22"/>
              </w:rPr>
              <w:t>Жилое помещение (квартира), общей площадью 43,7 кв.м., кадастровый номер 55:36:190357:371</w:t>
            </w:r>
          </w:p>
        </w:tc>
        <w:tc>
          <w:tcPr>
            <w:tcW w:type="dxa" w:w="411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E000000">
            <w:pPr>
              <w:widowControl w:val="0"/>
              <w:tabs>
                <w:tab w:leader="none" w:pos="191" w:val="left"/>
                <w:tab w:leader="none" w:pos="1592" w:val="center"/>
              </w:tabs>
              <w:spacing w:line="240" w:lineRule="auto"/>
              <w:ind w:firstLine="0" w:left="0"/>
              <w:jc w:val="center"/>
              <w:rPr>
                <w:sz w:val="22"/>
              </w:rPr>
            </w:pPr>
            <w:r>
              <w:rPr>
                <w:sz w:val="22"/>
              </w:rPr>
              <w:t xml:space="preserve">Омская обл., </w:t>
            </w:r>
            <w:r>
              <w:rPr>
                <w:sz w:val="22"/>
              </w:rPr>
              <w:t>г. Омск, ул. Революционная, д. 18, кв. 16</w:t>
            </w:r>
          </w:p>
        </w:tc>
        <w:tc>
          <w:tcPr>
            <w:tcW w:type="dxa" w:w="212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F000000">
            <w:pPr>
              <w:pStyle w:val="Style_2"/>
              <w:widowControl w:val="0"/>
              <w:tabs>
                <w:tab w:leader="none" w:pos="191" w:val="left"/>
                <w:tab w:leader="none" w:pos="1592" w:val="center"/>
              </w:tabs>
              <w:spacing w:line="240" w:lineRule="auto"/>
              <w:ind w:firstLine="0" w:left="0"/>
              <w:jc w:val="center"/>
              <w:rPr>
                <w:rFonts w:ascii="Times New Roman" w:hAnsi="Times New Roman"/>
                <w:sz w:val="22"/>
              </w:rPr>
            </w:pPr>
            <w:r>
              <w:rPr>
                <w:rFonts w:ascii="Times New Roman" w:hAnsi="Times New Roman"/>
                <w:sz w:val="22"/>
              </w:rPr>
              <w:t>Мухомеджанов К.К., Мухомеджанова Ш.Х.</w:t>
            </w:r>
          </w:p>
        </w:tc>
        <w:tc>
          <w:tcPr>
            <w:tcW w:type="dxa" w:w="141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0000000">
            <w:pPr>
              <w:widowControl w:val="0"/>
              <w:spacing w:line="240" w:lineRule="auto"/>
              <w:ind w:firstLine="0" w:left="-108"/>
              <w:jc w:val="center"/>
              <w:rPr>
                <w:sz w:val="22"/>
              </w:rPr>
            </w:pPr>
            <w:r>
              <w:rPr>
                <w:sz w:val="22"/>
              </w:rPr>
              <w:t>3 144 000</w:t>
            </w:r>
          </w:p>
        </w:tc>
        <w:tc>
          <w:tcPr>
            <w:tcW w:type="dxa" w:w="113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1000000">
            <w:pPr>
              <w:widowControl w:val="0"/>
              <w:spacing w:line="240" w:lineRule="auto"/>
              <w:ind w:firstLine="0" w:left="-108"/>
              <w:jc w:val="center"/>
              <w:rPr>
                <w:sz w:val="22"/>
              </w:rPr>
            </w:pPr>
            <w:r>
              <w:rPr>
                <w:sz w:val="22"/>
              </w:rPr>
              <w:t>157 000</w:t>
            </w:r>
          </w:p>
        </w:tc>
        <w:tc>
          <w:tcPr>
            <w:tcW w:type="dxa" w:w="12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2000000">
            <w:pPr>
              <w:widowControl w:val="0"/>
              <w:spacing w:line="240" w:lineRule="auto"/>
              <w:ind w:firstLine="0" w:left="-108"/>
              <w:jc w:val="center"/>
              <w:rPr>
                <w:sz w:val="22"/>
              </w:rPr>
            </w:pPr>
            <w:r>
              <w:rPr>
                <w:sz w:val="22"/>
              </w:rPr>
              <w:t>50 000</w:t>
            </w:r>
          </w:p>
        </w:tc>
        <w:tc>
          <w:tcPr>
            <w:tcW w:type="dxa" w:w="12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3000000">
            <w:pPr>
              <w:widowControl w:val="0"/>
              <w:ind w:firstLine="0" w:left="0"/>
              <w:jc w:val="center"/>
              <w:rPr>
                <w:sz w:val="22"/>
              </w:rPr>
            </w:pPr>
            <w:r>
              <w:rPr>
                <w:sz w:val="22"/>
              </w:rPr>
              <w:t>10465</w:t>
            </w:r>
          </w:p>
        </w:tc>
      </w:tr>
      <w:tr>
        <w:trPr>
          <w:trHeight w:hRule="atLeast" w:val="472"/>
        </w:trPr>
        <w:tc>
          <w:tcPr>
            <w:tcW w:type="dxa" w:w="3984"/>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24000000">
            <w:pPr>
              <w:pStyle w:val="Style_2"/>
              <w:widowControl w:val="0"/>
              <w:tabs>
                <w:tab w:leader="none" w:pos="191" w:val="left"/>
                <w:tab w:leader="none" w:pos="1592" w:val="center"/>
              </w:tabs>
              <w:spacing w:line="240" w:lineRule="auto"/>
              <w:ind w:firstLine="0" w:left="0"/>
              <w:rPr>
                <w:sz w:val="22"/>
              </w:rPr>
            </w:pPr>
            <w:r>
              <w:rPr>
                <w:sz w:val="22"/>
              </w:rPr>
              <w:t>Жилое здание (индивидуальный жилой дом), общей площадью 119,4 кв.м., кадастровый номер 55:36:100902:7604, з</w:t>
            </w:r>
            <w:r>
              <w:rPr>
                <w:sz w:val="22"/>
              </w:rPr>
              <w:t>емельный участок, площадью 650 кв.м., кадастровый номер 55:36:100902:6292, земли населенных пунктов, для размещения индивидуального жилого дома с прилегающим земельным участком (не более 3 этажей)</w:t>
            </w:r>
          </w:p>
        </w:tc>
        <w:tc>
          <w:tcPr>
            <w:tcW w:type="dxa" w:w="411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5000000">
            <w:pPr>
              <w:widowControl w:val="0"/>
              <w:tabs>
                <w:tab w:leader="none" w:pos="191" w:val="left"/>
                <w:tab w:leader="none" w:pos="1592" w:val="center"/>
              </w:tabs>
              <w:spacing w:line="240" w:lineRule="auto"/>
              <w:ind w:firstLine="0" w:left="0"/>
              <w:jc w:val="center"/>
              <w:rPr>
                <w:sz w:val="22"/>
              </w:rPr>
            </w:pPr>
            <w:r>
              <w:rPr>
                <w:sz w:val="22"/>
              </w:rPr>
              <w:t xml:space="preserve">Омская обл., </w:t>
            </w:r>
            <w:r>
              <w:rPr>
                <w:sz w:val="22"/>
              </w:rPr>
              <w:t>г. Омск, ул. 3-я Любинская, д. 46</w:t>
            </w:r>
          </w:p>
          <w:p w14:paraId="26000000">
            <w:pPr>
              <w:widowControl w:val="0"/>
              <w:tabs>
                <w:tab w:leader="none" w:pos="191" w:val="left"/>
                <w:tab w:leader="none" w:pos="1592" w:val="center"/>
              </w:tabs>
              <w:spacing w:line="240" w:lineRule="auto"/>
              <w:ind w:firstLine="0" w:left="0"/>
              <w:jc w:val="center"/>
              <w:rPr>
                <w:sz w:val="22"/>
              </w:rPr>
            </w:pPr>
            <w:r>
              <w:rPr>
                <w:sz w:val="22"/>
              </w:rPr>
              <w:t xml:space="preserve">Омская обл., </w:t>
            </w:r>
            <w:r>
              <w:rPr>
                <w:sz w:val="22"/>
              </w:rPr>
              <w:t>г. Омск, ул. 3-я Любинская, з/у 46</w:t>
            </w:r>
          </w:p>
        </w:tc>
        <w:tc>
          <w:tcPr>
            <w:tcW w:type="dxa" w:w="212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7000000">
            <w:pPr>
              <w:pStyle w:val="Style_2"/>
              <w:widowControl w:val="0"/>
              <w:tabs>
                <w:tab w:leader="none" w:pos="191" w:val="left"/>
                <w:tab w:leader="none" w:pos="1592" w:val="center"/>
              </w:tabs>
              <w:spacing w:line="240" w:lineRule="auto"/>
              <w:ind w:firstLine="0" w:left="0"/>
              <w:jc w:val="center"/>
              <w:rPr>
                <w:sz w:val="22"/>
              </w:rPr>
            </w:pPr>
            <w:r>
              <w:rPr>
                <w:rFonts w:ascii="Times New Roman" w:hAnsi="Times New Roman"/>
                <w:sz w:val="22"/>
              </w:rPr>
              <w:t>Станчас В.В.</w:t>
            </w:r>
          </w:p>
        </w:tc>
        <w:tc>
          <w:tcPr>
            <w:tcW w:type="dxa" w:w="141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8000000">
            <w:pPr>
              <w:widowControl w:val="0"/>
              <w:spacing w:line="240" w:lineRule="auto"/>
              <w:ind w:firstLine="0" w:left="-108"/>
              <w:jc w:val="center"/>
              <w:rPr>
                <w:sz w:val="22"/>
              </w:rPr>
            </w:pPr>
            <w:r>
              <w:rPr>
                <w:sz w:val="22"/>
              </w:rPr>
              <w:t>11 508 000</w:t>
            </w:r>
          </w:p>
        </w:tc>
        <w:tc>
          <w:tcPr>
            <w:tcW w:type="dxa" w:w="113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9000000">
            <w:pPr>
              <w:widowControl w:val="0"/>
              <w:spacing w:line="240" w:lineRule="auto"/>
              <w:ind w:firstLine="0" w:left="-108"/>
              <w:jc w:val="center"/>
              <w:rPr>
                <w:sz w:val="22"/>
              </w:rPr>
            </w:pPr>
            <w:r>
              <w:rPr>
                <w:sz w:val="22"/>
              </w:rPr>
              <w:t>575 000</w:t>
            </w:r>
          </w:p>
        </w:tc>
        <w:tc>
          <w:tcPr>
            <w:tcW w:type="dxa" w:w="12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A000000">
            <w:pPr>
              <w:widowControl w:val="0"/>
              <w:spacing w:line="240" w:lineRule="auto"/>
              <w:ind w:firstLine="0" w:left="-108"/>
              <w:jc w:val="center"/>
              <w:rPr>
                <w:sz w:val="22"/>
              </w:rPr>
            </w:pPr>
            <w:r>
              <w:rPr>
                <w:sz w:val="22"/>
              </w:rPr>
              <w:t>80 000</w:t>
            </w:r>
          </w:p>
        </w:tc>
        <w:tc>
          <w:tcPr>
            <w:tcW w:type="dxa" w:w="12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B000000">
            <w:pPr>
              <w:widowControl w:val="0"/>
              <w:ind w:firstLine="0" w:left="0"/>
              <w:jc w:val="center"/>
              <w:rPr>
                <w:sz w:val="22"/>
              </w:rPr>
            </w:pPr>
            <w:r>
              <w:rPr>
                <w:sz w:val="22"/>
              </w:rPr>
              <w:t>10470</w:t>
            </w:r>
          </w:p>
        </w:tc>
      </w:tr>
      <w:tr>
        <w:trPr>
          <w:trHeight w:hRule="atLeast" w:val="472"/>
        </w:trPr>
        <w:tc>
          <w:tcPr>
            <w:tcW w:type="dxa" w:w="3984"/>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2C000000">
            <w:pPr>
              <w:pStyle w:val="Style_2"/>
              <w:widowControl w:val="0"/>
              <w:tabs>
                <w:tab w:leader="none" w:pos="191" w:val="left"/>
                <w:tab w:leader="none" w:pos="1592" w:val="center"/>
              </w:tabs>
              <w:spacing w:line="240" w:lineRule="auto"/>
              <w:ind w:firstLine="0" w:left="0"/>
              <w:rPr>
                <w:sz w:val="22"/>
              </w:rPr>
            </w:pPr>
            <w:r>
              <w:rPr>
                <w:sz w:val="22"/>
              </w:rPr>
              <w:t>Жилое помещение (квартира), общей площадью 48,4 кв.м., кадастровый номер 55:36:120305:29180</w:t>
            </w:r>
          </w:p>
        </w:tc>
        <w:tc>
          <w:tcPr>
            <w:tcW w:type="dxa" w:w="411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D000000">
            <w:pPr>
              <w:widowControl w:val="0"/>
              <w:tabs>
                <w:tab w:leader="none" w:pos="191" w:val="left"/>
                <w:tab w:leader="none" w:pos="1592" w:val="center"/>
              </w:tabs>
              <w:spacing w:line="240" w:lineRule="auto"/>
              <w:ind w:firstLine="0" w:left="0"/>
              <w:jc w:val="center"/>
              <w:rPr>
                <w:sz w:val="22"/>
              </w:rPr>
            </w:pPr>
            <w:r>
              <w:rPr>
                <w:sz w:val="22"/>
              </w:rPr>
              <w:t xml:space="preserve">Омская обл., </w:t>
            </w:r>
            <w:r>
              <w:rPr>
                <w:sz w:val="22"/>
              </w:rPr>
              <w:t>г. Омск, ул. 3-я Кордная, д. 24а, кв. 45</w:t>
            </w:r>
          </w:p>
        </w:tc>
        <w:tc>
          <w:tcPr>
            <w:tcW w:type="dxa" w:w="212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E000000">
            <w:pPr>
              <w:pStyle w:val="Style_2"/>
              <w:widowControl w:val="0"/>
              <w:tabs>
                <w:tab w:leader="none" w:pos="191" w:val="left"/>
                <w:tab w:leader="none" w:pos="1592" w:val="center"/>
              </w:tabs>
              <w:spacing w:line="240" w:lineRule="auto"/>
              <w:ind w:firstLine="0" w:left="0"/>
              <w:jc w:val="center"/>
              <w:rPr>
                <w:sz w:val="22"/>
              </w:rPr>
            </w:pPr>
            <w:r>
              <w:rPr>
                <w:rFonts w:ascii="Times New Roman" w:hAnsi="Times New Roman"/>
                <w:sz w:val="22"/>
              </w:rPr>
              <w:t>Крупина Е.О.</w:t>
            </w:r>
          </w:p>
        </w:tc>
        <w:tc>
          <w:tcPr>
            <w:tcW w:type="dxa" w:w="141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F000000">
            <w:pPr>
              <w:widowControl w:val="0"/>
              <w:spacing w:line="240" w:lineRule="auto"/>
              <w:ind w:firstLine="0" w:left="-108"/>
              <w:jc w:val="center"/>
              <w:rPr>
                <w:sz w:val="22"/>
              </w:rPr>
            </w:pPr>
            <w:r>
              <w:rPr>
                <w:sz w:val="22"/>
              </w:rPr>
              <w:t>3 072 000</w:t>
            </w:r>
          </w:p>
        </w:tc>
        <w:tc>
          <w:tcPr>
            <w:tcW w:type="dxa" w:w="113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0000000">
            <w:pPr>
              <w:widowControl w:val="0"/>
              <w:spacing w:line="240" w:lineRule="auto"/>
              <w:ind w:firstLine="0" w:left="-108"/>
              <w:jc w:val="center"/>
              <w:rPr>
                <w:sz w:val="22"/>
              </w:rPr>
            </w:pPr>
            <w:r>
              <w:rPr>
                <w:sz w:val="22"/>
              </w:rPr>
              <w:t>153 000</w:t>
            </w:r>
          </w:p>
        </w:tc>
        <w:tc>
          <w:tcPr>
            <w:tcW w:type="dxa" w:w="12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1000000">
            <w:pPr>
              <w:widowControl w:val="0"/>
              <w:spacing w:line="240" w:lineRule="auto"/>
              <w:ind w:firstLine="0" w:left="-108"/>
              <w:jc w:val="center"/>
              <w:rPr>
                <w:sz w:val="22"/>
              </w:rPr>
            </w:pPr>
            <w:r>
              <w:rPr>
                <w:sz w:val="22"/>
              </w:rPr>
              <w:t>50 000</w:t>
            </w:r>
          </w:p>
        </w:tc>
        <w:tc>
          <w:tcPr>
            <w:tcW w:type="dxa" w:w="12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2000000">
            <w:pPr>
              <w:widowControl w:val="0"/>
              <w:ind w:firstLine="0" w:left="0"/>
              <w:jc w:val="center"/>
              <w:rPr>
                <w:sz w:val="22"/>
              </w:rPr>
            </w:pPr>
            <w:r>
              <w:rPr>
                <w:sz w:val="22"/>
              </w:rPr>
              <w:t>10471</w:t>
            </w:r>
          </w:p>
        </w:tc>
      </w:tr>
      <w:tr>
        <w:trPr>
          <w:trHeight w:hRule="atLeast" w:val="472"/>
        </w:trPr>
        <w:tc>
          <w:tcPr>
            <w:tcW w:type="dxa" w:w="3984"/>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33000000">
            <w:pPr>
              <w:pStyle w:val="Style_2"/>
              <w:widowControl w:val="0"/>
              <w:tabs>
                <w:tab w:leader="none" w:pos="191" w:val="left"/>
                <w:tab w:leader="none" w:pos="1592" w:val="center"/>
              </w:tabs>
              <w:spacing w:line="240" w:lineRule="auto"/>
              <w:ind w:firstLine="0" w:left="0"/>
              <w:rPr>
                <w:rFonts w:ascii="Times New Roman" w:hAnsi="Times New Roman"/>
                <w:sz w:val="22"/>
              </w:rPr>
            </w:pPr>
            <w:r>
              <w:rPr>
                <w:sz w:val="22"/>
              </w:rPr>
              <w:t xml:space="preserve">Земельный участок, площадью 640 кв.м., кадастровый номер 55:20:220101:7278, земли населенных пунктов, индивидуальное жилищное строительство. </w:t>
            </w:r>
            <w:r>
              <w:rPr>
                <w:rFonts w:ascii="Times New Roman" w:hAnsi="Times New Roman"/>
                <w:sz w:val="22"/>
              </w:rPr>
              <w:t>Ограничения прав на земельный участок, предусмотренные ст. 56 Земельного кодекса Российской Федерации</w:t>
            </w:r>
          </w:p>
        </w:tc>
        <w:tc>
          <w:tcPr>
            <w:tcW w:type="dxa" w:w="411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4000000">
            <w:pPr>
              <w:widowControl w:val="0"/>
              <w:tabs>
                <w:tab w:leader="none" w:pos="191" w:val="left"/>
                <w:tab w:leader="none" w:pos="1592" w:val="center"/>
              </w:tabs>
              <w:spacing w:line="240" w:lineRule="auto"/>
              <w:ind w:firstLine="0" w:left="0"/>
              <w:jc w:val="center"/>
              <w:rPr>
                <w:sz w:val="22"/>
              </w:rPr>
            </w:pPr>
            <w:r>
              <w:rPr>
                <w:rFonts w:ascii="Times New Roman" w:hAnsi="Times New Roman"/>
                <w:sz w:val="22"/>
              </w:rPr>
              <w:t xml:space="preserve">Омская обл., </w:t>
            </w:r>
            <w:r>
              <w:rPr>
                <w:rFonts w:ascii="Times New Roman" w:hAnsi="Times New Roman"/>
                <w:sz w:val="22"/>
              </w:rPr>
              <w:t>Омски</w:t>
            </w:r>
            <w:r>
              <w:rPr>
                <w:sz w:val="22"/>
              </w:rPr>
              <w:t>й р-н, с. Троицкое</w:t>
            </w:r>
          </w:p>
        </w:tc>
        <w:tc>
          <w:tcPr>
            <w:tcW w:type="dxa" w:w="212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5000000">
            <w:pPr>
              <w:pStyle w:val="Style_2"/>
              <w:widowControl w:val="0"/>
              <w:tabs>
                <w:tab w:leader="none" w:pos="191" w:val="left"/>
                <w:tab w:leader="none" w:pos="1592" w:val="center"/>
              </w:tabs>
              <w:spacing w:line="240" w:lineRule="auto"/>
              <w:ind w:firstLine="0" w:left="0"/>
              <w:jc w:val="center"/>
              <w:rPr>
                <w:sz w:val="22"/>
              </w:rPr>
            </w:pPr>
            <w:r>
              <w:rPr>
                <w:sz w:val="22"/>
              </w:rPr>
              <w:t>Рябенко К.В.</w:t>
            </w:r>
          </w:p>
        </w:tc>
        <w:tc>
          <w:tcPr>
            <w:tcW w:type="dxa" w:w="141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6000000">
            <w:pPr>
              <w:widowControl w:val="0"/>
              <w:spacing w:line="240" w:lineRule="auto"/>
              <w:ind w:firstLine="0" w:left="-108"/>
              <w:jc w:val="center"/>
              <w:rPr>
                <w:sz w:val="22"/>
              </w:rPr>
            </w:pPr>
            <w:r>
              <w:rPr>
                <w:sz w:val="22"/>
              </w:rPr>
              <w:t>836 000</w:t>
            </w:r>
          </w:p>
        </w:tc>
        <w:tc>
          <w:tcPr>
            <w:tcW w:type="dxa" w:w="113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7000000">
            <w:pPr>
              <w:widowControl w:val="0"/>
              <w:spacing w:line="240" w:lineRule="auto"/>
              <w:ind w:firstLine="0" w:left="-108"/>
              <w:jc w:val="center"/>
              <w:rPr>
                <w:sz w:val="22"/>
              </w:rPr>
            </w:pPr>
            <w:r>
              <w:rPr>
                <w:sz w:val="22"/>
              </w:rPr>
              <w:t>41 000</w:t>
            </w:r>
          </w:p>
        </w:tc>
        <w:tc>
          <w:tcPr>
            <w:tcW w:type="dxa" w:w="12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8000000">
            <w:pPr>
              <w:widowControl w:val="0"/>
              <w:spacing w:line="240" w:lineRule="auto"/>
              <w:ind w:firstLine="0" w:left="-108"/>
              <w:jc w:val="center"/>
              <w:rPr>
                <w:sz w:val="22"/>
              </w:rPr>
            </w:pPr>
            <w:r>
              <w:rPr>
                <w:sz w:val="22"/>
              </w:rPr>
              <w:t>30 000</w:t>
            </w:r>
          </w:p>
        </w:tc>
        <w:tc>
          <w:tcPr>
            <w:tcW w:type="dxa" w:w="12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9000000">
            <w:pPr>
              <w:widowControl w:val="0"/>
              <w:ind w:firstLine="0" w:left="0"/>
              <w:jc w:val="center"/>
              <w:rPr>
                <w:sz w:val="22"/>
              </w:rPr>
            </w:pPr>
            <w:r>
              <w:rPr>
                <w:sz w:val="22"/>
              </w:rPr>
              <w:t>10473</w:t>
            </w:r>
          </w:p>
        </w:tc>
      </w:tr>
      <w:tr>
        <w:trPr>
          <w:trHeight w:hRule="atLeast" w:val="472"/>
        </w:trPr>
        <w:tc>
          <w:tcPr>
            <w:tcW w:type="dxa" w:w="3984"/>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3A000000">
            <w:pPr>
              <w:pStyle w:val="Style_2"/>
              <w:widowControl w:val="0"/>
              <w:tabs>
                <w:tab w:leader="none" w:pos="191" w:val="left"/>
                <w:tab w:leader="none" w:pos="1592" w:val="center"/>
              </w:tabs>
              <w:spacing w:line="240" w:lineRule="auto"/>
              <w:ind w:firstLine="0" w:left="0"/>
              <w:rPr>
                <w:sz w:val="22"/>
              </w:rPr>
            </w:pPr>
            <w:r>
              <w:rPr>
                <w:sz w:val="22"/>
              </w:rPr>
              <w:t>Жилое помещение (квартира), общей площадью 31,9 кв.м., кадастровый номер 55:36:050208:4268</w:t>
            </w:r>
          </w:p>
        </w:tc>
        <w:tc>
          <w:tcPr>
            <w:tcW w:type="dxa" w:w="411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B000000">
            <w:pPr>
              <w:widowControl w:val="0"/>
              <w:tabs>
                <w:tab w:leader="none" w:pos="191" w:val="left"/>
                <w:tab w:leader="none" w:pos="1592" w:val="center"/>
              </w:tabs>
              <w:spacing w:line="240" w:lineRule="auto"/>
              <w:ind w:firstLine="0" w:left="0"/>
              <w:jc w:val="center"/>
              <w:rPr>
                <w:sz w:val="22"/>
              </w:rPr>
            </w:pPr>
            <w:r>
              <w:rPr>
                <w:sz w:val="22"/>
              </w:rPr>
              <w:t xml:space="preserve">Омская обл., </w:t>
            </w:r>
            <w:r>
              <w:rPr>
                <w:sz w:val="22"/>
              </w:rPr>
              <w:t>г. Омск, ул. Андрианова, д. 36, кв. 79</w:t>
            </w:r>
          </w:p>
        </w:tc>
        <w:tc>
          <w:tcPr>
            <w:tcW w:type="dxa" w:w="212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C000000">
            <w:pPr>
              <w:pStyle w:val="Style_2"/>
              <w:widowControl w:val="0"/>
              <w:tabs>
                <w:tab w:leader="none" w:pos="191" w:val="left"/>
                <w:tab w:leader="none" w:pos="1592" w:val="center"/>
              </w:tabs>
              <w:spacing w:line="240" w:lineRule="auto"/>
              <w:ind w:firstLine="0" w:left="0"/>
              <w:jc w:val="center"/>
              <w:rPr>
                <w:sz w:val="22"/>
              </w:rPr>
            </w:pPr>
            <w:r>
              <w:rPr>
                <w:sz w:val="22"/>
              </w:rPr>
              <w:t>Рыбаков А.В.</w:t>
            </w:r>
          </w:p>
        </w:tc>
        <w:tc>
          <w:tcPr>
            <w:tcW w:type="dxa" w:w="141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D000000">
            <w:pPr>
              <w:widowControl w:val="0"/>
              <w:spacing w:line="240" w:lineRule="auto"/>
              <w:ind w:firstLine="0" w:left="-108"/>
              <w:jc w:val="center"/>
              <w:rPr>
                <w:sz w:val="22"/>
              </w:rPr>
            </w:pPr>
            <w:r>
              <w:rPr>
                <w:sz w:val="22"/>
              </w:rPr>
              <w:t>2 900 000</w:t>
            </w:r>
          </w:p>
        </w:tc>
        <w:tc>
          <w:tcPr>
            <w:tcW w:type="dxa" w:w="113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E000000">
            <w:pPr>
              <w:widowControl w:val="0"/>
              <w:spacing w:line="240" w:lineRule="auto"/>
              <w:ind w:firstLine="0" w:left="-108"/>
              <w:jc w:val="center"/>
              <w:rPr>
                <w:sz w:val="22"/>
              </w:rPr>
            </w:pPr>
            <w:r>
              <w:rPr>
                <w:sz w:val="22"/>
              </w:rPr>
              <w:t>145 000</w:t>
            </w:r>
          </w:p>
        </w:tc>
        <w:tc>
          <w:tcPr>
            <w:tcW w:type="dxa" w:w="12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F000000">
            <w:pPr>
              <w:widowControl w:val="0"/>
              <w:spacing w:line="240" w:lineRule="auto"/>
              <w:ind w:firstLine="0" w:left="-108"/>
              <w:jc w:val="center"/>
              <w:rPr>
                <w:sz w:val="22"/>
              </w:rPr>
            </w:pPr>
            <w:r>
              <w:rPr>
                <w:sz w:val="22"/>
              </w:rPr>
              <w:t>45 000</w:t>
            </w:r>
          </w:p>
        </w:tc>
        <w:tc>
          <w:tcPr>
            <w:tcW w:type="dxa" w:w="12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40000000">
            <w:pPr>
              <w:widowControl w:val="0"/>
              <w:ind w:firstLine="0" w:left="0"/>
              <w:jc w:val="center"/>
              <w:rPr>
                <w:sz w:val="22"/>
              </w:rPr>
            </w:pPr>
            <w:r>
              <w:rPr>
                <w:sz w:val="22"/>
              </w:rPr>
              <w:t>10474</w:t>
            </w:r>
          </w:p>
        </w:tc>
      </w:tr>
      <w:tr>
        <w:trPr>
          <w:trHeight w:hRule="atLeast" w:val="472"/>
        </w:trPr>
        <w:tc>
          <w:tcPr>
            <w:tcW w:type="dxa" w:w="3984"/>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41000000">
            <w:pPr>
              <w:pStyle w:val="Style_2"/>
              <w:widowControl w:val="0"/>
              <w:tabs>
                <w:tab w:leader="none" w:pos="191" w:val="left"/>
                <w:tab w:leader="none" w:pos="1592" w:val="center"/>
              </w:tabs>
              <w:spacing w:line="240" w:lineRule="auto"/>
              <w:ind w:firstLine="0" w:left="0"/>
              <w:rPr>
                <w:sz w:val="22"/>
              </w:rPr>
            </w:pPr>
            <w:r>
              <w:rPr>
                <w:sz w:val="22"/>
              </w:rPr>
              <w:t>Жилое помещение (квартира), общей площадью 43 кв.м., кадастровый номер 55:36:120305:18267</w:t>
            </w:r>
          </w:p>
        </w:tc>
        <w:tc>
          <w:tcPr>
            <w:tcW w:type="dxa" w:w="411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42000000">
            <w:pPr>
              <w:widowControl w:val="0"/>
              <w:tabs>
                <w:tab w:leader="none" w:pos="191" w:val="left"/>
                <w:tab w:leader="none" w:pos="1592" w:val="center"/>
              </w:tabs>
              <w:spacing w:line="240" w:lineRule="auto"/>
              <w:ind w:firstLine="0" w:left="0"/>
              <w:jc w:val="center"/>
              <w:rPr>
                <w:sz w:val="22"/>
              </w:rPr>
            </w:pPr>
            <w:r>
              <w:rPr>
                <w:sz w:val="22"/>
              </w:rPr>
              <w:t xml:space="preserve">Омская обл., </w:t>
            </w:r>
            <w:r>
              <w:rPr>
                <w:sz w:val="22"/>
              </w:rPr>
              <w:t>г. Омск, ул. Пономаренко, д. 2, кв. 59</w:t>
            </w:r>
          </w:p>
        </w:tc>
        <w:tc>
          <w:tcPr>
            <w:tcW w:type="dxa" w:w="212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43000000">
            <w:pPr>
              <w:pStyle w:val="Style_2"/>
              <w:widowControl w:val="0"/>
              <w:tabs>
                <w:tab w:leader="none" w:pos="191" w:val="left"/>
                <w:tab w:leader="none" w:pos="1592" w:val="center"/>
              </w:tabs>
              <w:spacing w:line="240" w:lineRule="auto"/>
              <w:ind w:firstLine="0" w:left="0"/>
              <w:jc w:val="center"/>
              <w:rPr>
                <w:sz w:val="22"/>
              </w:rPr>
            </w:pPr>
            <w:r>
              <w:rPr>
                <w:sz w:val="22"/>
              </w:rPr>
              <w:t>Смолькова М.С.</w:t>
            </w:r>
          </w:p>
        </w:tc>
        <w:tc>
          <w:tcPr>
            <w:tcW w:type="dxa" w:w="141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44000000">
            <w:pPr>
              <w:widowControl w:val="0"/>
              <w:spacing w:line="240" w:lineRule="auto"/>
              <w:ind w:firstLine="0" w:left="-108"/>
              <w:jc w:val="center"/>
              <w:rPr>
                <w:sz w:val="22"/>
              </w:rPr>
            </w:pPr>
            <w:r>
              <w:rPr>
                <w:sz w:val="22"/>
              </w:rPr>
              <w:t>2 808 000</w:t>
            </w:r>
          </w:p>
        </w:tc>
        <w:tc>
          <w:tcPr>
            <w:tcW w:type="dxa" w:w="113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45000000">
            <w:pPr>
              <w:widowControl w:val="0"/>
              <w:spacing w:line="240" w:lineRule="auto"/>
              <w:ind w:firstLine="0" w:left="-108"/>
              <w:jc w:val="center"/>
              <w:rPr>
                <w:sz w:val="22"/>
              </w:rPr>
            </w:pPr>
            <w:r>
              <w:rPr>
                <w:sz w:val="22"/>
              </w:rPr>
              <w:t>140 000</w:t>
            </w:r>
          </w:p>
        </w:tc>
        <w:tc>
          <w:tcPr>
            <w:tcW w:type="dxa" w:w="12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46000000">
            <w:pPr>
              <w:widowControl w:val="0"/>
              <w:spacing w:line="240" w:lineRule="auto"/>
              <w:ind w:firstLine="0" w:left="-108"/>
              <w:jc w:val="center"/>
              <w:rPr>
                <w:sz w:val="22"/>
              </w:rPr>
            </w:pPr>
            <w:r>
              <w:rPr>
                <w:sz w:val="22"/>
              </w:rPr>
              <w:t>45 000</w:t>
            </w:r>
          </w:p>
        </w:tc>
        <w:tc>
          <w:tcPr>
            <w:tcW w:type="dxa" w:w="12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47000000">
            <w:pPr>
              <w:widowControl w:val="0"/>
              <w:ind w:firstLine="0" w:left="0"/>
              <w:jc w:val="center"/>
              <w:rPr>
                <w:sz w:val="22"/>
              </w:rPr>
            </w:pPr>
            <w:r>
              <w:rPr>
                <w:sz w:val="22"/>
              </w:rPr>
              <w:t>10468</w:t>
            </w:r>
          </w:p>
        </w:tc>
      </w:tr>
    </w:tbl>
    <w:p w14:paraId="48000000">
      <w:pPr>
        <w:widowControl w:val="0"/>
        <w:spacing w:line="240" w:lineRule="auto"/>
        <w:ind w:firstLine="567" w:left="0"/>
        <w:jc w:val="both"/>
        <w:rPr>
          <w:sz w:val="22"/>
        </w:rPr>
      </w:pPr>
    </w:p>
    <w:p w14:paraId="49000000">
      <w:pPr>
        <w:widowControl w:val="0"/>
        <w:spacing w:line="240" w:lineRule="auto"/>
        <w:ind w:firstLine="567" w:left="0"/>
        <w:jc w:val="both"/>
        <w:rPr>
          <w:sz w:val="22"/>
        </w:rPr>
      </w:pPr>
      <w:r>
        <w:rPr>
          <w:sz w:val="22"/>
        </w:rPr>
        <w:t>Настоящее извещение о проведении торгов является публичной офертой для заключения договора о задатке в соответствии со ст.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A000000">
      <w:pPr>
        <w:widowControl w:val="0"/>
        <w:spacing w:line="240" w:lineRule="auto"/>
        <w:ind w:firstLine="567" w:left="0"/>
        <w:jc w:val="both"/>
        <w:rPr>
          <w:sz w:val="22"/>
        </w:rPr>
      </w:pPr>
      <w:r>
        <w:rPr>
          <w:sz w:val="22"/>
        </w:rPr>
        <w:t xml:space="preserve">Зачисление и вывод (возврат) денежных средств осуществляется в соответствии с </w:t>
      </w:r>
      <w:r>
        <w:rPr>
          <w:sz w:val="22"/>
        </w:rPr>
        <w:t xml:space="preserve">Регламентом и Инструкцией </w:t>
      </w:r>
      <w:r>
        <w:rPr>
          <w:sz w:val="22"/>
        </w:rPr>
        <w:t>ЭТП АО «РАД»</w:t>
      </w:r>
      <w:r>
        <w:rPr>
          <w:sz w:val="22"/>
        </w:rPr>
        <w:t>.</w:t>
      </w:r>
    </w:p>
    <w:p w14:paraId="4B000000">
      <w:pPr>
        <w:widowControl w:val="0"/>
        <w:spacing w:line="240" w:lineRule="auto"/>
        <w:ind w:firstLine="567" w:left="0"/>
        <w:jc w:val="both"/>
        <w:rPr>
          <w:sz w:val="22"/>
        </w:rPr>
      </w:pPr>
      <w:r>
        <w:rPr>
          <w:sz w:val="22"/>
        </w:rPr>
        <w:t xml:space="preserve">Задаток должен быть внесен в соответствии с Регламентом </w:t>
      </w:r>
      <w:r>
        <w:rPr>
          <w:sz w:val="22"/>
        </w:rPr>
        <w:t>ЭТП АО «РАД»</w:t>
      </w:r>
      <w:r>
        <w:rPr>
          <w:sz w:val="22"/>
        </w:rPr>
        <w:t xml:space="preserve"> </w:t>
      </w:r>
      <w:r>
        <w:rPr>
          <w:sz w:val="22"/>
        </w:rPr>
        <w:t xml:space="preserve">в установленном в настоящем извещении о проведении торгов размере по реквизитам </w:t>
      </w:r>
      <w:r>
        <w:rPr>
          <w:sz w:val="22"/>
        </w:rPr>
        <w:t>ЭТП АО «РАД»</w:t>
      </w:r>
      <w:r>
        <w:rPr>
          <w:sz w:val="22"/>
        </w:rPr>
        <w:t xml:space="preserve">: ПОЛУЧАТЕЛЬ: Наименование: АО </w:t>
      </w:r>
      <w:r>
        <w:rPr>
          <w:sz w:val="22"/>
        </w:rPr>
        <w:t>«Российский аукционный дом»</w:t>
      </w:r>
      <w:r>
        <w:rPr>
          <w:sz w:val="22"/>
        </w:rPr>
        <w:t xml:space="preserve"> ИНН: 7</w:t>
      </w:r>
      <w:r>
        <w:rPr>
          <w:sz w:val="22"/>
        </w:rPr>
        <w:t>838430413 КПП: 783801001,</w:t>
      </w:r>
      <w:r>
        <w:rPr>
          <w:sz w:val="22"/>
        </w:rPr>
        <w:t xml:space="preserve"> Расчетный счет: 40</w:t>
      </w:r>
      <w:r>
        <w:rPr>
          <w:sz w:val="22"/>
        </w:rPr>
        <w:t>702810055040010531</w:t>
      </w:r>
      <w:r>
        <w:rPr>
          <w:sz w:val="22"/>
        </w:rPr>
        <w:t xml:space="preserve"> БАНК ПОЛУЧАТЕЛЯ: Наименование банка: </w:t>
      </w:r>
      <w:r>
        <w:rPr>
          <w:sz w:val="22"/>
        </w:rPr>
        <w:t>СЕВЕРО-ЗАПАДНЫЙ БАНК ПАО СБЕРБАНК</w:t>
      </w:r>
      <w:r>
        <w:rPr>
          <w:sz w:val="22"/>
        </w:rPr>
        <w:t xml:space="preserve"> БИК: 044</w:t>
      </w:r>
      <w:r>
        <w:rPr>
          <w:sz w:val="22"/>
        </w:rPr>
        <w:t>030653</w:t>
      </w:r>
      <w:r>
        <w:rPr>
          <w:sz w:val="22"/>
        </w:rPr>
        <w:t xml:space="preserve"> Корреспондентский счет: 30101810</w:t>
      </w:r>
      <w:r>
        <w:rPr>
          <w:sz w:val="22"/>
        </w:rPr>
        <w:t>5</w:t>
      </w:r>
      <w:r>
        <w:rPr>
          <w:sz w:val="22"/>
        </w:rPr>
        <w:t>00000000</w:t>
      </w:r>
      <w:r>
        <w:rPr>
          <w:sz w:val="22"/>
        </w:rPr>
        <w:t>653</w:t>
      </w:r>
      <w:r>
        <w:rPr>
          <w:sz w:val="22"/>
        </w:rPr>
        <w:t>. В назначении платежа указывается:</w:t>
      </w:r>
      <w:r>
        <w:t xml:space="preserve"> </w:t>
      </w:r>
      <w:r>
        <w:rPr>
          <w:sz w:val="22"/>
        </w:rPr>
        <w:t>№ л/с ____________ Средства для проведения операций по обеспечению участия в электронных процедурах.</w:t>
      </w:r>
      <w:r>
        <w:rPr>
          <w:sz w:val="22"/>
        </w:rPr>
        <w:t xml:space="preserve"> </w:t>
      </w:r>
      <w:r>
        <w:rPr>
          <w:sz w:val="22"/>
        </w:rPr>
        <w:t>НДС не облагается</w:t>
      </w:r>
      <w:r>
        <w:rPr>
          <w:sz w:val="22"/>
        </w:rPr>
        <w:t>.</w:t>
      </w:r>
      <w:r>
        <w:rPr>
          <w:sz w:val="22"/>
        </w:rPr>
        <w:t xml:space="preserve"> </w:t>
      </w:r>
    </w:p>
    <w:p w14:paraId="4C000000">
      <w:pPr>
        <w:widowControl w:val="0"/>
        <w:spacing w:line="240" w:lineRule="auto"/>
        <w:ind w:firstLine="567" w:left="0"/>
        <w:jc w:val="both"/>
        <w:rPr>
          <w:rFonts w:ascii="Times New Roman" w:hAnsi="Times New Roman"/>
          <w:b w:val="1"/>
          <w:color w:val="FF0000"/>
          <w:sz w:val="22"/>
        </w:rPr>
      </w:pPr>
      <w:r>
        <w:rPr>
          <w:sz w:val="22"/>
        </w:rPr>
        <w:t xml:space="preserve">Задаток должен поступить </w:t>
      </w:r>
      <w:r>
        <w:rPr>
          <w:b w:val="1"/>
          <w:sz w:val="22"/>
        </w:rPr>
        <w:t>не позднее</w:t>
      </w:r>
      <w:r>
        <w:rPr>
          <w:rFonts w:ascii="Times New Roman" w:hAnsi="Times New Roman"/>
          <w:b w:val="1"/>
          <w:color w:val="FF0000"/>
          <w:sz w:val="22"/>
        </w:rPr>
        <w:t xml:space="preserve"> 16 но</w:t>
      </w:r>
      <w:r>
        <w:rPr>
          <w:rFonts w:ascii="Times New Roman" w:hAnsi="Times New Roman"/>
          <w:b w:val="1"/>
          <w:color w:val="FF0000"/>
          <w:sz w:val="22"/>
        </w:rPr>
        <w:t>ября</w:t>
      </w:r>
      <w:r>
        <w:rPr>
          <w:rFonts w:ascii="Times New Roman" w:hAnsi="Times New Roman"/>
          <w:b w:val="1"/>
          <w:color w:val="FF0000"/>
          <w:sz w:val="22"/>
        </w:rPr>
        <w:t xml:space="preserve"> </w:t>
      </w:r>
      <w:r>
        <w:rPr>
          <w:rFonts w:ascii="Times New Roman" w:hAnsi="Times New Roman"/>
          <w:b w:val="1"/>
          <w:color w:val="FF0000"/>
          <w:sz w:val="22"/>
        </w:rPr>
        <w:t>2</w:t>
      </w:r>
      <w:r>
        <w:rPr>
          <w:rFonts w:ascii="Times New Roman" w:hAnsi="Times New Roman"/>
          <w:b w:val="1"/>
          <w:color w:val="FF0000"/>
          <w:sz w:val="22"/>
        </w:rPr>
        <w:t>026</w:t>
      </w:r>
      <w:r>
        <w:rPr>
          <w:rFonts w:ascii="Times New Roman" w:hAnsi="Times New Roman"/>
          <w:b w:val="1"/>
          <w:color w:val="FF0000"/>
          <w:sz w:val="22"/>
        </w:rPr>
        <w:t xml:space="preserve"> </w:t>
      </w:r>
      <w:r>
        <w:rPr>
          <w:rFonts w:ascii="Times New Roman" w:hAnsi="Times New Roman"/>
          <w:b w:val="1"/>
          <w:color w:val="FF0000"/>
          <w:sz w:val="22"/>
        </w:rPr>
        <w:t>г.</w:t>
      </w:r>
    </w:p>
    <w:p w14:paraId="4D000000">
      <w:pPr>
        <w:widowControl w:val="0"/>
        <w:spacing w:line="240" w:lineRule="auto"/>
        <w:ind w:firstLine="567" w:left="0"/>
        <w:jc w:val="both"/>
        <w:rPr>
          <w:sz w:val="22"/>
        </w:rPr>
      </w:pPr>
      <w:r>
        <w:rPr>
          <w:sz w:val="22"/>
        </w:rPr>
        <w:t>Внесенный задаток не возвращается в случае, если заявитель, признанный победителем торгов:</w:t>
      </w:r>
    </w:p>
    <w:p w14:paraId="4E000000">
      <w:pPr>
        <w:widowControl w:val="0"/>
        <w:spacing w:line="240" w:lineRule="auto"/>
        <w:ind w:firstLine="567" w:left="0"/>
        <w:jc w:val="both"/>
        <w:rPr>
          <w:sz w:val="22"/>
        </w:rPr>
      </w:pPr>
      <w:r>
        <w:rPr>
          <w:sz w:val="22"/>
        </w:rPr>
        <w:t xml:space="preserve">- уклонится от подписания Протокола о результатах торгов в установленный срок; </w:t>
      </w:r>
    </w:p>
    <w:p w14:paraId="4F000000">
      <w:pPr>
        <w:widowControl w:val="0"/>
        <w:spacing w:line="240" w:lineRule="auto"/>
        <w:ind w:firstLine="567" w:left="0"/>
        <w:jc w:val="both"/>
        <w:rPr>
          <w:sz w:val="22"/>
        </w:rPr>
      </w:pPr>
      <w:r>
        <w:rPr>
          <w:sz w:val="22"/>
        </w:rPr>
        <w:t>- уклонится от оплаты продаваемого на торгах имущества в срок, установленный подписанным Протоколом о результатах торгов.</w:t>
      </w:r>
    </w:p>
    <w:p w14:paraId="50000000">
      <w:pPr>
        <w:widowControl w:val="0"/>
        <w:spacing w:line="240" w:lineRule="auto"/>
        <w:ind w:firstLine="567" w:left="0"/>
        <w:jc w:val="both"/>
        <w:rPr>
          <w:sz w:val="22"/>
        </w:rPr>
      </w:pPr>
      <w:r>
        <w:rPr>
          <w:sz w:val="22"/>
        </w:rPr>
        <w:t xml:space="preserve">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 </w:t>
      </w:r>
    </w:p>
    <w:p w14:paraId="51000000">
      <w:pPr>
        <w:widowControl w:val="0"/>
        <w:spacing w:line="240" w:lineRule="auto"/>
        <w:ind w:firstLine="567" w:left="0"/>
        <w:jc w:val="both"/>
        <w:rPr>
          <w:rFonts w:ascii="Times New Roman" w:hAnsi="Times New Roman"/>
          <w:sz w:val="22"/>
        </w:rPr>
      </w:pPr>
      <w:r>
        <w:rPr>
          <w:sz w:val="22"/>
        </w:rPr>
        <w:t>К моменту подачи заявки заявитель, помимо оплаты задатка, обязан внести на счет ЭТП АО «РАД»</w:t>
      </w:r>
      <w:r>
        <w:rPr>
          <w:b w:val="1"/>
          <w:sz w:val="22"/>
        </w:rPr>
        <w:t xml:space="preserve"> гарантийное обеспечение оплаты оказания услуг ЭТП АО</w:t>
      </w:r>
      <w:r>
        <w:rPr>
          <w:b w:val="1"/>
          <w:sz w:val="22"/>
        </w:rPr>
        <w:t xml:space="preserve"> «РАД»</w:t>
      </w:r>
      <w:r>
        <w:rPr>
          <w:b w:val="1"/>
          <w:sz w:val="22"/>
        </w:rPr>
        <w:t xml:space="preserve"> согласно действующему тарифу</w:t>
      </w:r>
      <w:r>
        <w:rPr>
          <w:b w:val="1"/>
          <w:sz w:val="22"/>
        </w:rPr>
        <w:t>.</w:t>
      </w:r>
      <w:r>
        <w:rPr>
          <w:b w:val="1"/>
          <w:sz w:val="22"/>
        </w:rPr>
        <w:t xml:space="preserve"> </w:t>
      </w:r>
      <w:r>
        <w:rPr>
          <w:sz w:val="22"/>
        </w:rPr>
        <w:t xml:space="preserve">Порядок передачи, </w:t>
      </w:r>
      <w:r>
        <w:rPr>
          <w:sz w:val="22"/>
        </w:rPr>
        <w:t xml:space="preserve">возврата, </w:t>
      </w:r>
      <w:r>
        <w:rPr>
          <w:sz w:val="22"/>
        </w:rPr>
        <w:t xml:space="preserve">удержания средств Гарантийного обеспечения оплаты услуг ЭТП АО «РАД» установлен «Соглашением о гарантийном обеспечении пользователями ЭТП АО «РАД» оплаты оказания услуг Оператора при участии пользователя в процедурах продажи имущества, имущественных прав в электронной форме на электронной площадке АО «РАД»», размещенным в сети «Интернет» по адресу: </w:t>
      </w:r>
      <w:r>
        <w:rPr>
          <w:rStyle w:val="Style_3_ch"/>
          <w:sz w:val="22"/>
        </w:rPr>
        <w:fldChar w:fldCharType="begin"/>
      </w:r>
      <w:r>
        <w:rPr>
          <w:rStyle w:val="Style_3_ch"/>
          <w:sz w:val="22"/>
        </w:rPr>
        <w:instrText>HYPERLINK "https://catalog.lot-online.ru/images/docs/reglament_deposit.pdf"</w:instrText>
      </w:r>
      <w:r>
        <w:rPr>
          <w:rStyle w:val="Style_3_ch"/>
          <w:sz w:val="22"/>
        </w:rPr>
        <w:fldChar w:fldCharType="separate"/>
      </w:r>
      <w:r>
        <w:rPr>
          <w:rStyle w:val="Style_3_ch"/>
          <w:sz w:val="22"/>
        </w:rPr>
        <w:t>https://catalog.lot-online.ru/images/docs/reglament_deposit.pdf</w:t>
      </w:r>
      <w:r>
        <w:rPr>
          <w:rStyle w:val="Style_3_ch"/>
          <w:sz w:val="22"/>
        </w:rPr>
        <w:fldChar w:fldCharType="end"/>
      </w:r>
      <w:r>
        <w:rPr>
          <w:sz w:val="22"/>
        </w:rPr>
        <w:t xml:space="preserve">. </w:t>
      </w:r>
      <w:r>
        <w:rPr>
          <w:rFonts w:ascii="Times New Roman" w:hAnsi="Times New Roman"/>
          <w:sz w:val="22"/>
        </w:rPr>
        <w:t>Гарантийное обеспечение оплаты оказания услуг ЭТП АО «РАД», внесенное заявителем, признанным победителем торгов, возврату не подлежит и является вознаграждением АО «РАД», как Оператора электронной площадки, за оказание услуг, в направлении продаж «арестованное имущество».</w:t>
      </w:r>
    </w:p>
    <w:p w14:paraId="52000000">
      <w:pPr>
        <w:widowControl w:val="0"/>
        <w:spacing w:line="240" w:lineRule="auto"/>
        <w:ind w:firstLine="567" w:left="0"/>
        <w:jc w:val="both"/>
        <w:rPr>
          <w:sz w:val="22"/>
        </w:rPr>
      </w:pPr>
      <w:r>
        <w:rPr>
          <w:sz w:val="22"/>
        </w:rPr>
        <w:t xml:space="preserve">Прием заявок осуществляется в соответствии с </w:t>
      </w:r>
      <w:r>
        <w:rPr>
          <w:sz w:val="22"/>
        </w:rPr>
        <w:t>Регламентом и Инструкцией</w:t>
      </w:r>
      <w:r>
        <w:rPr>
          <w:sz w:val="22"/>
        </w:rPr>
        <w:t xml:space="preserve"> </w:t>
      </w:r>
      <w:r>
        <w:rPr>
          <w:sz w:val="22"/>
        </w:rPr>
        <w:t>ЭТП АО «РАД»</w:t>
      </w:r>
      <w:r>
        <w:rPr>
          <w:sz w:val="22"/>
        </w:rPr>
        <w:t xml:space="preserve">. </w:t>
      </w:r>
    </w:p>
    <w:p w14:paraId="53000000">
      <w:pPr>
        <w:widowControl w:val="0"/>
        <w:spacing w:line="240" w:lineRule="auto"/>
        <w:ind w:firstLine="567" w:left="0"/>
        <w:jc w:val="both"/>
        <w:rPr>
          <w:sz w:val="22"/>
        </w:rPr>
      </w:pPr>
      <w:r>
        <w:rPr>
          <w:sz w:val="22"/>
        </w:rPr>
        <w:t>Дата начала подачи заявок на участие в аукционе и прилагаемых к ним документов:</w:t>
      </w:r>
      <w:r>
        <w:rPr>
          <w:rFonts w:ascii="Times New Roman" w:hAnsi="Times New Roman"/>
          <w:b w:val="1"/>
          <w:color w:val="FF0000"/>
          <w:sz w:val="22"/>
        </w:rPr>
        <w:t xml:space="preserve"> 26 октября</w:t>
      </w:r>
      <w:r>
        <w:rPr>
          <w:rFonts w:ascii="Times New Roman" w:hAnsi="Times New Roman"/>
          <w:b w:val="1"/>
          <w:color w:val="FF0000"/>
          <w:sz w:val="22"/>
        </w:rPr>
        <w:t xml:space="preserve"> 2</w:t>
      </w:r>
      <w:r>
        <w:rPr>
          <w:rFonts w:ascii="Times New Roman" w:hAnsi="Times New Roman"/>
          <w:b w:val="1"/>
          <w:color w:val="FF0000"/>
          <w:sz w:val="22"/>
        </w:rPr>
        <w:t>02</w:t>
      </w:r>
      <w:r>
        <w:rPr>
          <w:b w:val="1"/>
          <w:color w:val="FF0000"/>
          <w:sz w:val="22"/>
        </w:rPr>
        <w:t>6 г.</w:t>
      </w:r>
      <w:r>
        <w:rPr>
          <w:b w:val="1"/>
          <w:color w:val="FF0000"/>
          <w:sz w:val="22"/>
        </w:rPr>
        <w:t xml:space="preserve"> </w:t>
      </w:r>
      <w:r>
        <w:rPr>
          <w:b w:val="1"/>
          <w:color w:val="FF0000"/>
          <w:sz w:val="22"/>
        </w:rPr>
        <w:t xml:space="preserve">в 07-00 </w:t>
      </w:r>
      <w:r>
        <w:rPr>
          <w:sz w:val="22"/>
        </w:rPr>
        <w:t>(время московское).</w:t>
      </w:r>
    </w:p>
    <w:p w14:paraId="54000000">
      <w:pPr>
        <w:widowControl w:val="0"/>
        <w:spacing w:line="240" w:lineRule="auto"/>
        <w:ind w:firstLine="567" w:left="0"/>
        <w:jc w:val="both"/>
        <w:rPr>
          <w:sz w:val="22"/>
        </w:rPr>
      </w:pPr>
      <w:r>
        <w:rPr>
          <w:sz w:val="22"/>
        </w:rPr>
        <w:t>Дата окончания подачи заявок на участие в аукционе и прилагаемых к ним документов:</w:t>
      </w:r>
      <w:r>
        <w:rPr>
          <w:rStyle w:val="Style_2_ch"/>
          <w:rFonts w:ascii="Times New Roman" w:hAnsi="Times New Roman"/>
          <w:b w:val="1"/>
          <w:color w:val="FF0000"/>
          <w:sz w:val="22"/>
        </w:rPr>
        <w:t xml:space="preserve"> 16 ноября</w:t>
      </w:r>
      <w:r>
        <w:rPr>
          <w:rFonts w:ascii="Times New Roman" w:hAnsi="Times New Roman"/>
          <w:b w:val="1"/>
          <w:color w:val="FF0000"/>
          <w:sz w:val="22"/>
        </w:rPr>
        <w:t xml:space="preserve"> </w:t>
      </w:r>
      <w:r>
        <w:rPr>
          <w:b w:val="1"/>
          <w:color w:val="FF0000"/>
          <w:sz w:val="22"/>
        </w:rPr>
        <w:t>2026</w:t>
      </w:r>
      <w:r>
        <w:rPr>
          <w:b w:val="1"/>
          <w:color w:val="FF0000"/>
          <w:sz w:val="22"/>
        </w:rPr>
        <w:t xml:space="preserve"> г. в 20</w:t>
      </w:r>
      <w:r>
        <w:rPr>
          <w:b w:val="1"/>
          <w:color w:val="FF0000"/>
          <w:sz w:val="22"/>
        </w:rPr>
        <w:t>.59</w:t>
      </w:r>
      <w:r>
        <w:rPr>
          <w:b w:val="1"/>
          <w:color w:val="FF0000"/>
          <w:sz w:val="22"/>
        </w:rPr>
        <w:t xml:space="preserve"> </w:t>
      </w:r>
      <w:r>
        <w:rPr>
          <w:sz w:val="22"/>
        </w:rPr>
        <w:t>(время московское).</w:t>
      </w:r>
    </w:p>
    <w:p w14:paraId="55000000">
      <w:pPr>
        <w:widowControl w:val="0"/>
        <w:spacing w:line="240" w:lineRule="auto"/>
        <w:ind w:firstLine="567" w:left="0"/>
        <w:jc w:val="both"/>
        <w:rPr>
          <w:b w:val="1"/>
          <w:color w:val="FF0000"/>
          <w:sz w:val="22"/>
        </w:rPr>
      </w:pPr>
      <w:r>
        <w:rPr>
          <w:sz w:val="22"/>
        </w:rPr>
        <w:t>Итоги приема и регистрации заявок подводятся комиссией по проведению торгов</w:t>
      </w:r>
      <w:r>
        <w:rPr>
          <w:sz w:val="22"/>
        </w:rPr>
        <w:t>:</w:t>
      </w:r>
      <w:r>
        <w:rPr>
          <w:rFonts w:ascii="Times New Roman" w:hAnsi="Times New Roman"/>
          <w:b w:val="1"/>
          <w:color w:val="FF0000"/>
          <w:sz w:val="22"/>
        </w:rPr>
        <w:t xml:space="preserve">  18 ноября </w:t>
      </w:r>
      <w:r>
        <w:rPr>
          <w:rFonts w:ascii="Times New Roman" w:hAnsi="Times New Roman"/>
          <w:b w:val="1"/>
          <w:color w:val="FF0000"/>
          <w:sz w:val="22"/>
        </w:rPr>
        <w:t>2</w:t>
      </w:r>
      <w:r>
        <w:rPr>
          <w:rFonts w:ascii="Times New Roman" w:hAnsi="Times New Roman"/>
          <w:b w:val="1"/>
          <w:color w:val="FF0000"/>
          <w:sz w:val="22"/>
        </w:rPr>
        <w:t>0</w:t>
      </w:r>
      <w:r>
        <w:rPr>
          <w:rFonts w:ascii="Times New Roman" w:hAnsi="Times New Roman"/>
          <w:b w:val="1"/>
          <w:color w:val="FF0000"/>
          <w:sz w:val="22"/>
        </w:rPr>
        <w:t>26</w:t>
      </w:r>
      <w:r>
        <w:rPr>
          <w:rFonts w:ascii="Times New Roman" w:hAnsi="Times New Roman"/>
          <w:b w:val="1"/>
          <w:color w:val="FF0000"/>
          <w:sz w:val="22"/>
        </w:rPr>
        <w:t xml:space="preserve"> </w:t>
      </w:r>
      <w:r>
        <w:rPr>
          <w:b w:val="1"/>
          <w:color w:val="FF0000"/>
          <w:sz w:val="22"/>
        </w:rPr>
        <w:t>г. в 1</w:t>
      </w:r>
      <w:r>
        <w:rPr>
          <w:b w:val="1"/>
          <w:color w:val="FF0000"/>
          <w:sz w:val="22"/>
        </w:rPr>
        <w:t>4</w:t>
      </w:r>
      <w:r>
        <w:rPr>
          <w:b w:val="1"/>
          <w:color w:val="FF0000"/>
          <w:sz w:val="22"/>
        </w:rPr>
        <w:t xml:space="preserve"> ч. 00 мин.</w:t>
      </w:r>
      <w:r>
        <w:rPr>
          <w:b w:val="1"/>
          <w:color w:val="FF0000"/>
          <w:sz w:val="22"/>
        </w:rPr>
        <w:t xml:space="preserve"> </w:t>
      </w:r>
    </w:p>
    <w:p w14:paraId="56000000">
      <w:pPr>
        <w:widowControl w:val="0"/>
        <w:spacing w:line="240" w:lineRule="auto"/>
        <w:ind w:firstLine="567" w:left="0"/>
        <w:jc w:val="both"/>
        <w:rPr>
          <w:sz w:val="22"/>
        </w:rPr>
      </w:pPr>
      <w:r>
        <w:rPr>
          <w:sz w:val="22"/>
        </w:rPr>
        <w:t>Продавец оставляет за собой право снять выставленное имущество с торгов по постановлению судебного пристава-исполнителя.</w:t>
      </w:r>
    </w:p>
    <w:p w14:paraId="57000000">
      <w:pPr>
        <w:widowControl w:val="0"/>
        <w:spacing w:line="240" w:lineRule="auto"/>
        <w:ind w:firstLine="567" w:left="0"/>
        <w:jc w:val="both"/>
        <w:rPr>
          <w:sz w:val="22"/>
        </w:rPr>
      </w:pPr>
      <w:r>
        <w:rPr>
          <w:sz w:val="22"/>
        </w:rPr>
        <w:t xml:space="preserve">Порядок проведения торгов установлен </w:t>
      </w:r>
      <w:r>
        <w:rPr>
          <w:sz w:val="22"/>
        </w:rPr>
        <w:t>Регламентом и Инструкцией</w:t>
      </w:r>
      <w:r>
        <w:rPr>
          <w:sz w:val="22"/>
        </w:rPr>
        <w:t xml:space="preserve"> </w:t>
      </w:r>
      <w:r>
        <w:rPr>
          <w:sz w:val="22"/>
        </w:rPr>
        <w:t>ЭТП АО «РАД»</w:t>
      </w:r>
      <w:r>
        <w:rPr>
          <w:sz w:val="22"/>
        </w:rPr>
        <w:t>.</w:t>
      </w:r>
    </w:p>
    <w:p w14:paraId="58000000">
      <w:pPr>
        <w:widowControl w:val="0"/>
        <w:spacing w:line="240" w:lineRule="auto"/>
        <w:ind w:firstLine="567" w:left="0"/>
        <w:jc w:val="both"/>
        <w:rPr>
          <w:sz w:val="22"/>
        </w:rPr>
      </w:pPr>
      <w:r>
        <w:rPr>
          <w:sz w:val="22"/>
        </w:rPr>
        <w:t>Критерий определения победителя - наибольшая сумма, предложенная участником за объект торгов.</w:t>
      </w:r>
    </w:p>
    <w:p w14:paraId="59000000">
      <w:pPr>
        <w:widowControl w:val="0"/>
        <w:spacing w:line="240" w:lineRule="auto"/>
        <w:ind w:firstLine="567" w:left="0"/>
        <w:jc w:val="both"/>
        <w:rPr>
          <w:sz w:val="22"/>
        </w:rPr>
      </w:pPr>
      <w:r>
        <w:rPr>
          <w:sz w:val="22"/>
        </w:rPr>
        <w:t>Продавец и победитель торгов подписывают Протокол о результатах торгов в день проведения торгов (по адресу Продавца или в электронном виде посредством электронной почты (для иногородних участников торгов)). Время прибытия для подписания Протокола о результатах торгов необходимо согласовать по телефону: 8 (3812) 24-73-89, доб. 306.</w:t>
      </w:r>
    </w:p>
    <w:p w14:paraId="5A000000">
      <w:pPr>
        <w:widowControl w:val="0"/>
        <w:spacing w:line="240" w:lineRule="auto"/>
        <w:ind w:firstLine="567" w:left="0"/>
        <w:jc w:val="both"/>
        <w:rPr>
          <w:sz w:val="22"/>
        </w:rPr>
      </w:pPr>
      <w:r>
        <w:rPr>
          <w:sz w:val="22"/>
        </w:rPr>
        <w:t>Победитель торгов в течение 5 рабочих дней должен оплатить стоимость приобретаемого имущества.</w:t>
      </w:r>
    </w:p>
    <w:p w14:paraId="5B000000">
      <w:pPr>
        <w:pStyle w:val="Style_2"/>
        <w:widowControl w:val="0"/>
        <w:spacing w:line="240" w:lineRule="auto"/>
        <w:ind w:firstLine="567" w:left="0"/>
        <w:jc w:val="both"/>
        <w:rPr>
          <w:b w:val="1"/>
          <w:shd w:fill="F8D957" w:val="clear"/>
        </w:rPr>
      </w:pPr>
      <w:r>
        <w:rPr>
          <w:b w:val="1"/>
          <w:shd w:fill="F8D957" w:val="clear"/>
        </w:rPr>
        <w:t xml:space="preserve">Договор купли-продажи имущества (далее — договор) </w:t>
      </w:r>
      <w:r>
        <w:rPr>
          <w:rFonts w:ascii="Times New Roman" w:hAnsi="Times New Roman"/>
          <w:b w:val="1"/>
          <w:sz w:val="28"/>
          <w:shd w:fill="F8D957" w:val="clear"/>
        </w:rPr>
        <w:t>НЕ РАНЕЕ 10 рабочих дней</w:t>
      </w:r>
      <w:r>
        <w:rPr>
          <w:rFonts w:ascii="Times New Roman" w:hAnsi="Times New Roman"/>
          <w:b w:val="1"/>
          <w:sz w:val="28"/>
          <w:shd w:fill="F8D957" w:val="clear"/>
        </w:rPr>
        <w:t xml:space="preserve"> с</w:t>
      </w:r>
      <w:r>
        <w:rPr>
          <w:rFonts w:ascii="Times New Roman" w:hAnsi="Times New Roman"/>
          <w:b w:val="1"/>
          <w:sz w:val="28"/>
          <w:shd w:fill="F8D957" w:val="clear"/>
        </w:rPr>
        <w:t>о</w:t>
      </w:r>
      <w:r>
        <w:rPr>
          <w:rFonts w:ascii="Times New Roman" w:hAnsi="Times New Roman"/>
          <w:b w:val="1"/>
          <w:sz w:val="28"/>
          <w:shd w:fill="F8D957" w:val="clear"/>
        </w:rPr>
        <w:t xml:space="preserve"> дня подписания протокола о результатах торгов</w:t>
      </w:r>
      <w:r>
        <w:rPr>
          <w:b w:val="1"/>
          <w:shd w:fill="F8D957" w:val="clear"/>
        </w:rPr>
        <w:t xml:space="preserve"> заключает</w:t>
      </w:r>
      <w:r>
        <w:rPr>
          <w:rFonts w:ascii="Times New Roman" w:hAnsi="Times New Roman"/>
          <w:b w:val="1"/>
          <w:sz w:val="28"/>
          <w:shd w:fill="F8D957" w:val="clear"/>
        </w:rPr>
        <w:t xml:space="preserve">ся </w:t>
      </w:r>
      <w:r>
        <w:rPr>
          <w:rFonts w:ascii="Times New Roman" w:hAnsi="Times New Roman"/>
          <w:b w:val="1"/>
          <w:sz w:val="28"/>
          <w:shd w:fill="F8D957" w:val="clear"/>
        </w:rPr>
        <w:t>в</w:t>
      </w:r>
      <w:r>
        <w:rPr>
          <w:b w:val="1"/>
          <w:shd w:fill="F8D957" w:val="clear"/>
        </w:rPr>
        <w:t xml:space="preserve"> электронной форме с использованием функционала ФГИАС «ЕСУГИ» (далее — ФГИАС ЕСУГИ), размещенного по адресу https://fiol.rosim.gov.ru. </w:t>
      </w:r>
    </w:p>
    <w:p w14:paraId="5C000000">
      <w:pPr>
        <w:pStyle w:val="Style_2"/>
        <w:widowControl w:val="0"/>
        <w:spacing w:line="240" w:lineRule="auto"/>
        <w:ind w:firstLine="567" w:left="0"/>
        <w:jc w:val="both"/>
        <w:rPr>
          <w:b w:val="1"/>
          <w:shd w:fill="F8D957" w:val="clear"/>
        </w:rPr>
      </w:pPr>
      <w:r>
        <w:rPr>
          <w:b w:val="1"/>
          <w:shd w:fill="F8D957" w:val="clear"/>
        </w:rPr>
        <w:t>Для заключения договора победитель торгов/представитель победителя торгов в личном кабинете в ФГИАС ЕСУГИ формирует заяв</w:t>
      </w:r>
      <w:r>
        <w:rPr>
          <w:b w:val="1"/>
          <w:shd w:fill="F8D957" w:val="clear"/>
        </w:rPr>
        <w:t>ку</w:t>
      </w:r>
      <w:r>
        <w:rPr>
          <w:b w:val="1"/>
          <w:shd w:fill="F8D957" w:val="clear"/>
        </w:rPr>
        <w:t xml:space="preserve">. Для оформления заявки необходимо в личном кабинете выбрать жизненную ситуацию «Подписать договор по результатам торгов». В открывшейся форме заполнить все обязательные поля с обязательным приложением платежных документов о полной оплате имущества. </w:t>
      </w:r>
    </w:p>
    <w:p w14:paraId="5D000000">
      <w:pPr>
        <w:pStyle w:val="Style_2"/>
        <w:widowControl w:val="0"/>
        <w:spacing w:line="240" w:lineRule="auto"/>
        <w:ind w:firstLine="567" w:left="0"/>
        <w:jc w:val="both"/>
        <w:rPr>
          <w:b w:val="1"/>
          <w:sz w:val="22"/>
          <w:shd w:fill="F8D957" w:val="clear"/>
        </w:rPr>
      </w:pPr>
      <w:r>
        <w:rPr>
          <w:b w:val="1"/>
          <w:shd w:fill="F8D957" w:val="clear"/>
        </w:rPr>
        <w:t>После заполнения формы необходимо нажать на кнопку «Подписать и направить». Статус хода рассмотрения и обработки заявки можно наблюдать в личном кабинете во ФГИАС ЕСУГИ в меню «Сообщения».</w:t>
      </w:r>
    </w:p>
    <w:p w14:paraId="5E000000">
      <w:pPr>
        <w:widowControl w:val="0"/>
        <w:spacing w:line="240" w:lineRule="auto"/>
        <w:ind w:firstLine="540" w:left="0"/>
        <w:jc w:val="both"/>
        <w:rPr>
          <w:sz w:val="22"/>
        </w:rPr>
      </w:pPr>
      <w:r>
        <w:rPr>
          <w:sz w:val="22"/>
        </w:rPr>
        <w:t>Продавец объявляет торги несостоявшимися в случаях, когда:</w:t>
      </w:r>
    </w:p>
    <w:p w14:paraId="5F000000">
      <w:pPr>
        <w:widowControl w:val="0"/>
        <w:spacing w:line="240" w:lineRule="auto"/>
        <w:ind w:firstLine="540" w:left="0"/>
        <w:jc w:val="both"/>
        <w:rPr>
          <w:sz w:val="22"/>
        </w:rPr>
      </w:pPr>
      <w:r>
        <w:rPr>
          <w:sz w:val="22"/>
        </w:rPr>
        <w:t>1) заявки на участие в торгах подали менее двух лиц; на торги не явились участники торгов либо явился один участник торгов (на торги явилось менее двух покупателей)</w:t>
      </w:r>
      <w:r>
        <w:rPr>
          <w:b w:val="1"/>
          <w:sz w:val="22"/>
        </w:rPr>
        <w:t xml:space="preserve"> </w:t>
      </w:r>
      <w:r>
        <w:rPr>
          <w:b w:val="1"/>
          <w:sz w:val="22"/>
        </w:rPr>
        <w:t>Внимание! В условиях проведения электронных аукционов явка участников означает присутствие в едином торговом зале</w:t>
      </w:r>
      <w:r>
        <w:rPr>
          <w:sz w:val="22"/>
        </w:rPr>
        <w:t>;</w:t>
      </w:r>
    </w:p>
    <w:p w14:paraId="60000000">
      <w:pPr>
        <w:widowControl w:val="0"/>
        <w:spacing w:line="240" w:lineRule="auto"/>
        <w:ind w:firstLine="540" w:left="0"/>
        <w:jc w:val="both"/>
        <w:rPr>
          <w:sz w:val="22"/>
        </w:rPr>
      </w:pPr>
      <w:r>
        <w:rPr>
          <w:sz w:val="22"/>
        </w:rPr>
        <w:t>2) на публичных торгах не сделана надбавка против начальной продажной цены имущества;</w:t>
      </w:r>
    </w:p>
    <w:p w14:paraId="61000000">
      <w:pPr>
        <w:widowControl w:val="0"/>
        <w:spacing w:line="240" w:lineRule="auto"/>
        <w:ind w:firstLine="540" w:left="0"/>
        <w:jc w:val="both"/>
        <w:rPr>
          <w:sz w:val="22"/>
        </w:rPr>
      </w:pPr>
      <w:r>
        <w:rPr>
          <w:sz w:val="22"/>
        </w:rPr>
        <w:t>3) лицо, выигравшее публичные торги, не внесло покупную цену в установленный срок.</w:t>
      </w:r>
    </w:p>
    <w:p w14:paraId="62000000">
      <w:pPr>
        <w:widowControl w:val="0"/>
        <w:spacing w:line="240" w:lineRule="auto"/>
        <w:ind w:firstLine="567" w:left="0"/>
        <w:jc w:val="both"/>
        <w:rPr>
          <w:sz w:val="22"/>
        </w:rPr>
      </w:pPr>
      <w:r>
        <w:rPr>
          <w:sz w:val="22"/>
        </w:rPr>
        <w:t xml:space="preserve">Торги проводятся в соответствии со ст.447-449.1. ГК РФ, Федеральным законом от 16.07.1998 г. № 102-ФЗ «Об ипотеке (залоге недвижимости)», Федеральным законом № 229-ФЗ от 02.10.2007 "Об исполнительном производстве".   </w:t>
      </w:r>
    </w:p>
    <w:p w14:paraId="63000000">
      <w:pPr>
        <w:widowControl w:val="0"/>
        <w:spacing w:line="240" w:lineRule="auto"/>
        <w:ind w:firstLine="0" w:left="0"/>
        <w:jc w:val="center"/>
        <w:rPr>
          <w:b w:val="1"/>
          <w:sz w:val="22"/>
        </w:rPr>
      </w:pPr>
      <w:r>
        <w:rPr>
          <w:b w:val="1"/>
          <w:sz w:val="22"/>
        </w:rPr>
        <w:t>Документы, представляемые для участия в торгах:</w:t>
      </w:r>
    </w:p>
    <w:p w14:paraId="64000000">
      <w:pPr>
        <w:widowControl w:val="0"/>
        <w:spacing w:line="240" w:lineRule="auto"/>
        <w:ind w:firstLine="567" w:left="0"/>
        <w:jc w:val="both"/>
        <w:rPr>
          <w:sz w:val="22"/>
        </w:rPr>
      </w:pPr>
      <w:r>
        <w:rPr>
          <w:sz w:val="22"/>
        </w:rPr>
        <w:t>-  Заявка установленного образца, подписанная заявителем.</w:t>
      </w:r>
    </w:p>
    <w:p w14:paraId="65000000">
      <w:pPr>
        <w:widowControl w:val="0"/>
        <w:spacing w:line="240" w:lineRule="auto"/>
        <w:ind w:firstLine="567" w:left="0"/>
        <w:jc w:val="both"/>
        <w:rPr>
          <w:sz w:val="22"/>
        </w:rPr>
      </w:pPr>
      <w:r>
        <w:rPr>
          <w:sz w:val="22"/>
        </w:rPr>
        <w:t xml:space="preserve">- </w:t>
      </w:r>
      <w:r>
        <w:rPr>
          <w:sz w:val="22"/>
        </w:rPr>
        <w:t>Свидетельства о регистрации (для организаций, зарегистрированных до 01.01.2017), учредительные документы; надлежащим образом оформленные и заверенные документы, подтверждающие полномочия органов управления и должностных лиц заявителя; решение соответствующего органа управления заявителя о приобретении указанного имущества, в случае если это предусмотрено учредительными документами заявителя, подписанное уполномоченными лицами соответствующего органа  управления с проставлением печати юридического лица (для юридических лиц).</w:t>
      </w:r>
    </w:p>
    <w:p w14:paraId="66000000">
      <w:pPr>
        <w:widowControl w:val="0"/>
        <w:spacing w:line="240" w:lineRule="auto"/>
        <w:ind w:firstLine="567" w:left="0"/>
        <w:jc w:val="both"/>
        <w:rPr>
          <w:sz w:val="22"/>
        </w:rPr>
      </w:pPr>
      <w:r>
        <w:rPr>
          <w:sz w:val="22"/>
        </w:rPr>
        <w:t>-  Копии паспортов (для физических лиц</w:t>
      </w:r>
      <w:r>
        <w:rPr>
          <w:sz w:val="22"/>
        </w:rPr>
        <w:t>, индивидуальных предпринимателей</w:t>
      </w:r>
      <w:r>
        <w:rPr>
          <w:sz w:val="22"/>
        </w:rPr>
        <w:t>): страница 2, страница 3, страница с указанием места жительства.</w:t>
      </w:r>
    </w:p>
    <w:p w14:paraId="67000000">
      <w:pPr>
        <w:widowControl w:val="0"/>
        <w:numPr>
          <w:numId w:val="1"/>
        </w:numPr>
        <w:spacing w:line="240" w:lineRule="auto"/>
        <w:ind/>
      </w:pPr>
      <w:r>
        <w:rPr>
          <w:b w:val="1"/>
          <w:sz w:val="22"/>
        </w:rPr>
        <w:t xml:space="preserve"> Актуальная в</w:t>
      </w:r>
      <w:r>
        <w:rPr>
          <w:b w:val="1"/>
          <w:sz w:val="22"/>
        </w:rPr>
        <w:t xml:space="preserve">ыписка из ЕГРИП/ЕГРЮЛ – датированная не ранее 30 дней до даты подачи заявки на участие в торгах (для </w:t>
      </w:r>
      <w:r>
        <w:rPr>
          <w:b w:val="1"/>
          <w:sz w:val="22"/>
        </w:rPr>
        <w:t xml:space="preserve"> юридических лиц и </w:t>
      </w:r>
      <w:r>
        <w:rPr>
          <w:b w:val="1"/>
          <w:sz w:val="22"/>
        </w:rPr>
        <w:t>индивидуальных предпринимателей</w:t>
      </w:r>
      <w:r>
        <w:rPr>
          <w:b w:val="1"/>
          <w:sz w:val="22"/>
        </w:rPr>
        <w:t>).</w:t>
      </w:r>
    </w:p>
    <w:p w14:paraId="68000000">
      <w:pPr>
        <w:widowControl w:val="0"/>
        <w:numPr>
          <w:numId w:val="1"/>
        </w:numPr>
        <w:spacing w:line="240" w:lineRule="auto"/>
        <w:ind/>
        <w:jc w:val="both"/>
        <w:rPr>
          <w:rFonts w:ascii="Times New Roman" w:hAnsi="Times New Roman"/>
          <w:b w:val="1"/>
          <w:sz w:val="22"/>
        </w:rPr>
      </w:pPr>
      <w:r>
        <w:rPr>
          <w:rFonts w:ascii="Times New Roman" w:hAnsi="Times New Roman"/>
          <w:b w:val="1"/>
          <w:sz w:val="22"/>
        </w:rPr>
        <w:t>Отдельно оформленное согласие на обработку персональных данных</w:t>
      </w:r>
      <w:r>
        <w:rPr>
          <w:rFonts w:ascii="Times New Roman" w:hAnsi="Times New Roman"/>
          <w:b w:val="1"/>
          <w:sz w:val="22"/>
        </w:rPr>
        <w:t xml:space="preserve"> (форма согласия приложена к настоящему извещению);</w:t>
      </w:r>
    </w:p>
    <w:p w14:paraId="69000000">
      <w:pPr>
        <w:widowControl w:val="0"/>
        <w:spacing w:line="240" w:lineRule="auto"/>
        <w:ind w:firstLine="567" w:left="0"/>
        <w:jc w:val="both"/>
        <w:rPr>
          <w:sz w:val="22"/>
        </w:rPr>
      </w:pPr>
      <w:r>
        <w:rPr>
          <w:sz w:val="22"/>
        </w:rPr>
        <w:t>- Доверенность на лицо, уполномоченное действовать от имени заявителя при подаче заявки на участие в торгах, оформленная в соответствии с требованиями, установленными гражданским законодательством.</w:t>
      </w:r>
    </w:p>
    <w:p w14:paraId="6A000000">
      <w:pPr>
        <w:widowControl w:val="0"/>
        <w:spacing w:line="240" w:lineRule="auto"/>
        <w:ind w:firstLine="567" w:left="0"/>
        <w:jc w:val="both"/>
        <w:rPr>
          <w:sz w:val="22"/>
        </w:rPr>
      </w:pPr>
      <w:r>
        <w:rPr>
          <w:sz w:val="22"/>
        </w:rPr>
        <w:t>Указанные документы в части их оформления и содержания должны соответствовать требованиям законодательства Российской Федерации. Документы</w:t>
      </w:r>
      <w:r>
        <w:rPr>
          <w:sz w:val="22"/>
        </w:rPr>
        <w:t>, содержащие помарки, подчистки, исправления и т. п., не рассматриваются.</w:t>
      </w:r>
    </w:p>
    <w:p w14:paraId="6B000000">
      <w:pPr>
        <w:widowControl w:val="0"/>
        <w:spacing w:line="240" w:lineRule="auto"/>
        <w:ind w:firstLine="567" w:left="0"/>
        <w:jc w:val="both"/>
        <w:rPr>
          <w:sz w:val="22"/>
        </w:rPr>
      </w:pPr>
      <w:r>
        <w:rPr>
          <w:sz w:val="22"/>
        </w:rPr>
        <w:t xml:space="preserve">Продавец отказывает заявителю в </w:t>
      </w:r>
      <w:r>
        <w:rPr>
          <w:sz w:val="22"/>
        </w:rPr>
        <w:t>допуске</w:t>
      </w:r>
      <w:r>
        <w:rPr>
          <w:sz w:val="22"/>
        </w:rPr>
        <w:t xml:space="preserve"> на участие в торгах в следующих случаях:</w:t>
      </w:r>
    </w:p>
    <w:p w14:paraId="6C000000">
      <w:pPr>
        <w:widowControl w:val="0"/>
        <w:spacing w:line="240" w:lineRule="auto"/>
        <w:ind w:firstLine="567" w:left="0"/>
        <w:jc w:val="both"/>
        <w:rPr>
          <w:sz w:val="22"/>
        </w:rPr>
      </w:pPr>
      <w:r>
        <w:rPr>
          <w:sz w:val="22"/>
        </w:rPr>
        <w:t>- заявка на участие в торгах подана не по установленной форме;</w:t>
      </w:r>
    </w:p>
    <w:p w14:paraId="6D000000">
      <w:pPr>
        <w:widowControl w:val="0"/>
        <w:spacing w:line="240" w:lineRule="auto"/>
        <w:ind w:firstLine="567" w:left="0"/>
        <w:jc w:val="both"/>
        <w:rPr>
          <w:sz w:val="22"/>
        </w:rPr>
      </w:pPr>
      <w:r>
        <w:rPr>
          <w:sz w:val="22"/>
        </w:rPr>
        <w:t>- заявка подана лицом, не уполномоченным заявителем на осуществление таких действий;</w:t>
      </w:r>
    </w:p>
    <w:p w14:paraId="6E000000">
      <w:pPr>
        <w:widowControl w:val="0"/>
        <w:spacing w:line="240" w:lineRule="auto"/>
        <w:ind w:firstLine="567" w:left="0"/>
        <w:jc w:val="both"/>
        <w:rPr>
          <w:sz w:val="22"/>
        </w:rPr>
      </w:pPr>
      <w:r>
        <w:rPr>
          <w:sz w:val="22"/>
        </w:rPr>
        <w:t xml:space="preserve">- </w:t>
      </w:r>
      <w:r>
        <w:rPr>
          <w:sz w:val="22"/>
        </w:rPr>
        <w:t xml:space="preserve">приложенные к заявке документы не соответствуют перечню, установленному в извещении о </w:t>
      </w:r>
      <w:r>
        <w:rPr>
          <w:sz w:val="22"/>
        </w:rPr>
        <w:t>проведении торгов</w:t>
      </w:r>
      <w:r>
        <w:rPr>
          <w:sz w:val="22"/>
        </w:rPr>
        <w:t xml:space="preserve"> (в т.ч. отсутствует </w:t>
      </w:r>
      <w:r>
        <w:rPr>
          <w:rFonts w:ascii="Times New Roman" w:hAnsi="Times New Roman"/>
          <w:b w:val="1"/>
          <w:sz w:val="22"/>
        </w:rPr>
        <w:t>отдельно оформленное согласие на обработку персональных данных в соответствии с ч.</w:t>
      </w:r>
      <w:r>
        <w:rPr>
          <w:rFonts w:ascii="Times New Roman" w:hAnsi="Times New Roman"/>
          <w:b w:val="1"/>
          <w:sz w:val="22"/>
        </w:rPr>
        <w:t xml:space="preserve"> 1 ст</w:t>
      </w:r>
      <w:r>
        <w:rPr>
          <w:rFonts w:ascii="Times New Roman" w:hAnsi="Times New Roman"/>
          <w:b w:val="1"/>
          <w:sz w:val="22"/>
        </w:rPr>
        <w:t xml:space="preserve">. 9 </w:t>
      </w:r>
      <w:r>
        <w:rPr>
          <w:rFonts w:ascii="Times New Roman" w:hAnsi="Times New Roman"/>
          <w:b w:val="1"/>
          <w:sz w:val="22"/>
        </w:rPr>
        <w:t>ФЗ «О персональных данных» от 27.07.2006 № 152-ФЗ</w:t>
      </w:r>
      <w:r>
        <w:rPr>
          <w:rFonts w:ascii="Times New Roman" w:hAnsi="Times New Roman"/>
          <w:sz w:val="22"/>
        </w:rPr>
        <w:t>)</w:t>
      </w:r>
      <w:r>
        <w:rPr>
          <w:sz w:val="22"/>
        </w:rPr>
        <w:t>, либо они оформлены не надлежащим образом</w:t>
      </w:r>
      <w:r>
        <w:rPr>
          <w:sz w:val="22"/>
        </w:rPr>
        <w:t>.</w:t>
      </w:r>
    </w:p>
    <w:p w14:paraId="6F000000">
      <w:pPr>
        <w:widowControl w:val="0"/>
        <w:spacing w:line="240" w:lineRule="auto"/>
        <w:ind w:firstLine="567" w:left="0"/>
        <w:jc w:val="both"/>
        <w:rPr>
          <w:sz w:val="22"/>
        </w:rPr>
      </w:pPr>
      <w:r>
        <w:rPr>
          <w:sz w:val="22"/>
        </w:rPr>
        <w:t>В соответствии с п. 5 ст. 449.1. ГК РФ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 Нарушение указанного выше требования является основанием для отказа в допуске на участие в торгах.</w:t>
      </w:r>
    </w:p>
    <w:p w14:paraId="70000000">
      <w:pPr>
        <w:widowControl w:val="0"/>
        <w:spacing w:line="240" w:lineRule="auto"/>
        <w:ind w:firstLine="567" w:left="0"/>
        <w:jc w:val="both"/>
        <w:rPr>
          <w:sz w:val="22"/>
        </w:rPr>
      </w:pPr>
      <w:r>
        <w:rPr>
          <w:sz w:val="22"/>
        </w:rPr>
        <w:t xml:space="preserve">К аукциону допускаются </w:t>
      </w:r>
      <w:r>
        <w:rPr>
          <w:sz w:val="22"/>
        </w:rPr>
        <w:t>претенденты, признанные участниками аукциона и зарегистрировавшиеся для участия в нем.</w:t>
      </w:r>
    </w:p>
    <w:p w14:paraId="71000000">
      <w:pPr>
        <w:widowControl w:val="0"/>
        <w:spacing w:line="240" w:lineRule="auto"/>
        <w:ind w:firstLine="567" w:left="0"/>
        <w:jc w:val="both"/>
        <w:rPr>
          <w:sz w:val="22"/>
        </w:rPr>
      </w:pPr>
      <w:r>
        <w:rPr>
          <w:sz w:val="22"/>
        </w:rPr>
        <w:t>Претенденты, признанные участниками торгов, и претенденты, не допущенные к учстию в торгах, уведомляются о принятом решении не позднее следующего рабочего дня с даты оформления решения протоколом посредством уведомления в личном кабинете на электронной торговой площадке.</w:t>
      </w:r>
    </w:p>
    <w:p w14:paraId="72000000">
      <w:pPr>
        <w:widowControl w:val="0"/>
        <w:spacing w:line="240" w:lineRule="auto"/>
        <w:ind w:firstLine="567" w:left="0"/>
        <w:jc w:val="both"/>
        <w:rPr>
          <w:sz w:val="22"/>
        </w:rPr>
      </w:pPr>
      <w:r>
        <w:rPr>
          <w:sz w:val="22"/>
        </w:rPr>
        <w:t xml:space="preserve">Заявитель вправе отозвать заявку на участие в торгах, до момента приобретения им статуса участника торгов. Претендент приобретает статус участника торгов с момента оформления комиссией по проведению торгов протокола окончания приема и регистрации заявок. </w:t>
      </w:r>
    </w:p>
    <w:p w14:paraId="73000000">
      <w:pPr>
        <w:widowControl w:val="0"/>
        <w:spacing w:line="240" w:lineRule="auto"/>
        <w:ind w:firstLine="567" w:left="0"/>
        <w:jc w:val="both"/>
        <w:rPr>
          <w:sz w:val="22"/>
        </w:rPr>
      </w:pPr>
      <w:r>
        <w:rPr>
          <w:sz w:val="22"/>
        </w:rPr>
        <w:t xml:space="preserve">Сведения о наличии обременений содержатся в комплекте документов, переданном по акту приема-передачи в ТУ Росимущества в Омской области судебным приставом-исполнителем. Скан-образы документов, характеризующих реализуемое имущество, в том числе документов о наличии обременений, прикрепляются к извещению о проведении торгов на универсальной торговой платформе </w:t>
      </w:r>
      <w:r>
        <w:rPr>
          <w:sz w:val="22"/>
        </w:rPr>
        <w:t>ЭТП АО «РАД»</w:t>
      </w:r>
      <w:r>
        <w:rPr>
          <w:sz w:val="22"/>
        </w:rPr>
        <w:t xml:space="preserve">. </w:t>
      </w:r>
    </w:p>
    <w:p w14:paraId="74000000">
      <w:pPr>
        <w:widowControl w:val="0"/>
        <w:spacing w:line="240" w:lineRule="auto"/>
        <w:ind w:firstLine="567" w:left="0"/>
        <w:jc w:val="both"/>
        <w:rPr>
          <w:sz w:val="22"/>
        </w:rPr>
      </w:pPr>
      <w:r>
        <w:rPr>
          <w:sz w:val="22"/>
        </w:rPr>
        <w:t>В соответствии со ст.158 Жилищного кодекса Российской Федерации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 Информация о задолженности (либо ее отсутствии) предыдущих собственников помещений (должников по исполнительному производству) по взносам на капитальный ремонт, судебным приставом-исполнителем не предоставляется.</w:t>
      </w:r>
    </w:p>
    <w:p w14:paraId="75000000">
      <w:pPr>
        <w:widowControl w:val="0"/>
        <w:spacing w:line="240" w:lineRule="auto"/>
        <w:ind w:firstLine="567" w:left="0"/>
        <w:jc w:val="both"/>
        <w:rPr>
          <w:sz w:val="22"/>
        </w:rPr>
      </w:pPr>
      <w:r>
        <w:rPr>
          <w:sz w:val="22"/>
        </w:rPr>
        <w:t>В соответствии с п. 1 ст. 42 ФЗ «О государственной регистрации недвижимости» сделки по отчуждению долей в праве общей собственности на недвижимое имущество, подлежат нотариальному удостоверению. Все расходы, связанные с нотариальным удостоверением сделок, несет Покупатель.</w:t>
      </w:r>
    </w:p>
    <w:p w14:paraId="76000000">
      <w:pPr>
        <w:widowControl w:val="0"/>
        <w:spacing w:line="240" w:lineRule="auto"/>
        <w:ind w:firstLine="567" w:left="0"/>
        <w:jc w:val="both"/>
        <w:rPr>
          <w:sz w:val="22"/>
        </w:rPr>
      </w:pPr>
      <w:r>
        <w:rPr>
          <w:sz w:val="22"/>
        </w:rPr>
        <w:t>Получить дополнительную информацию об объектах продажи, а также сведения о зарегистрированных в жилом помещении лицах, в том числе о наличии среди таких лиц несовершеннолетних детей, можно получить в период подачи заявок с 09-30 до 12-30 часов и с 14 до 17 часов (кроме четверга, пятницы, субботы и воскресенья) по телефону: 8 (3812) 24-73-89 добавочный 306.</w:t>
      </w:r>
    </w:p>
    <w:p w14:paraId="77000000">
      <w:pPr>
        <w:widowControl w:val="0"/>
        <w:spacing w:line="240" w:lineRule="auto"/>
        <w:ind w:firstLine="567" w:left="0"/>
        <w:jc w:val="both"/>
        <w:rPr>
          <w:sz w:val="22"/>
        </w:rPr>
      </w:pPr>
      <w:r>
        <w:rPr>
          <w:sz w:val="22"/>
        </w:rPr>
        <w:t xml:space="preserve">Письменные обращения в адрес Продавца в отношении объектов продажи и порядка проведения торгов, в т.ч. запросы на разъяснения, направленные на </w:t>
      </w:r>
      <w:r>
        <w:rPr>
          <w:sz w:val="22"/>
        </w:rPr>
        <w:t>ЭТП АО «РАД»</w:t>
      </w:r>
      <w:r>
        <w:rPr>
          <w:sz w:val="22"/>
        </w:rPr>
        <w:t>, рассматриваются в порядке и сроки, установленные Федеральным законом от 2 мая 2006 года № 59-ФЗ «О порядке рассмотрения обращений граждан Российской Федерации».</w:t>
      </w:r>
    </w:p>
    <w:p w14:paraId="78000000">
      <w:pPr>
        <w:widowControl w:val="0"/>
        <w:spacing w:line="240" w:lineRule="auto"/>
        <w:ind/>
        <w:jc w:val="both"/>
        <w:rPr>
          <w:sz w:val="22"/>
        </w:rPr>
      </w:pPr>
      <w:r>
        <w:rPr>
          <w:sz w:val="22"/>
        </w:rPr>
        <w:t xml:space="preserve">Информация о проведении торгов дублируется на сайте ТУ Росимущества в Омской области </w:t>
      </w:r>
      <w:r>
        <w:rPr>
          <w:sz w:val="22"/>
        </w:rPr>
        <w:t xml:space="preserve">по адресу: </w:t>
      </w:r>
      <w:r>
        <w:rPr>
          <w:rStyle w:val="Style_3_ch"/>
          <w:rFonts w:ascii="Times New Roman" w:hAnsi="Times New Roman"/>
          <w:b w:val="1"/>
          <w:color w:val="0000FF"/>
          <w:sz w:val="22"/>
          <w:u w:val="single"/>
        </w:rPr>
        <w:t>https://fiol.rosim.gov.ru/mk/</w:t>
      </w:r>
      <w:r>
        <w:rPr>
          <w:b w:val="1"/>
          <w:sz w:val="22"/>
        </w:rPr>
        <w:t xml:space="preserve">, </w:t>
      </w:r>
      <w:r>
        <w:rPr>
          <w:sz w:val="22"/>
        </w:rPr>
        <w:t>а также на сайте</w:t>
      </w:r>
      <w:r>
        <w:rPr>
          <w:b w:val="1"/>
          <w:sz w:val="22"/>
        </w:rPr>
        <w:t xml:space="preserve"> </w:t>
      </w:r>
      <w:r>
        <w:rPr>
          <w:rStyle w:val="Style_3_ch"/>
          <w:rFonts w:ascii="Times New Roman" w:hAnsi="Times New Roman"/>
          <w:b w:val="1"/>
          <w:color w:val="0000FF"/>
          <w:sz w:val="22"/>
          <w:u w:val="single"/>
        </w:rPr>
        <w:fldChar w:fldCharType="begin"/>
      </w:r>
      <w:r>
        <w:rPr>
          <w:rStyle w:val="Style_3_ch"/>
          <w:rFonts w:ascii="Times New Roman" w:hAnsi="Times New Roman"/>
          <w:b w:val="1"/>
          <w:color w:val="0000FF"/>
          <w:sz w:val="22"/>
          <w:u w:val="single"/>
        </w:rPr>
        <w:instrText>HYPERLINK "https://torgi.gov.ru/new."</w:instrText>
      </w:r>
      <w:r>
        <w:rPr>
          <w:rStyle w:val="Style_3_ch"/>
          <w:rFonts w:ascii="Times New Roman" w:hAnsi="Times New Roman"/>
          <w:b w:val="1"/>
          <w:color w:val="0000FF"/>
          <w:sz w:val="22"/>
          <w:u w:val="single"/>
        </w:rPr>
        <w:fldChar w:fldCharType="separate"/>
      </w:r>
      <w:r>
        <w:rPr>
          <w:rStyle w:val="Style_3_ch"/>
          <w:rFonts w:ascii="Times New Roman" w:hAnsi="Times New Roman"/>
          <w:b w:val="1"/>
          <w:color w:val="0000FF"/>
          <w:sz w:val="22"/>
          <w:u w:val="single"/>
        </w:rPr>
        <w:t>https://torgi.gov.ru/new</w:t>
      </w:r>
      <w:r>
        <w:rPr>
          <w:rStyle w:val="Style_3_ch"/>
          <w:rFonts w:ascii="Times New Roman" w:hAnsi="Times New Roman"/>
          <w:b w:val="1"/>
          <w:color w:val="0000FF"/>
          <w:sz w:val="22"/>
          <w:u w:val="single"/>
        </w:rPr>
        <w:t>.</w:t>
      </w:r>
      <w:r>
        <w:rPr>
          <w:rStyle w:val="Style_3_ch"/>
          <w:rFonts w:ascii="Times New Roman" w:hAnsi="Times New Roman"/>
          <w:b w:val="1"/>
          <w:color w:val="0000FF"/>
          <w:sz w:val="22"/>
          <w:u w:val="single"/>
        </w:rPr>
        <w:fldChar w:fldCharType="end"/>
      </w:r>
      <w:r>
        <w:rPr>
          <w:rFonts w:ascii="Times New Roman" w:hAnsi="Times New Roman"/>
          <w:b w:val="1"/>
          <w:color w:val="0000FF"/>
          <w:sz w:val="22"/>
          <w:u w:val="single"/>
        </w:rPr>
        <w:t>, в областной газете «Омский Вестник».</w:t>
      </w:r>
    </w:p>
    <w:sectPr>
      <w:pgSz w:h="11906" w:orient="landscape" w:w="16838"/>
      <w:pgMar w:bottom="850" w:footer="708" w:gutter="0" w:header="708" w:left="1134" w:right="962" w:top="709"/>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numFmt w:val="bullet"/>
      <w:lvlText w:val="-"/>
      <w:pPr>
        <w:widowControl w:val="0"/>
        <w:ind w:hanging="360" w:left="720"/>
      </w:pPr>
      <w:rPr>
        <w:rFonts w:ascii="Calibri" w:hAnsi="Calibri"/>
      </w:rPr>
    </w:lvl>
    <w:lvl w:ilvl="1">
      <w:numFmt w:val="bullet"/>
      <w:lvlText w:val="o"/>
      <w:pPr>
        <w:widowControl w:val="0"/>
        <w:ind w:hanging="360" w:left="1440"/>
      </w:pPr>
      <w:rPr>
        <w:rFonts w:ascii="Courier New" w:hAnsi="Courier New"/>
      </w:rPr>
    </w:lvl>
    <w:lvl w:ilvl="2">
      <w:numFmt w:val="bullet"/>
      <w:lvlText w:val=""/>
      <w:pPr>
        <w:widowControl w:val="0"/>
        <w:ind w:hanging="360" w:left="2160"/>
      </w:pPr>
      <w:rPr>
        <w:rFonts w:ascii="Wingdings" w:hAnsi="Wingdings"/>
      </w:rPr>
    </w:lvl>
    <w:lvl w:ilvl="3">
      <w:numFmt w:val="bullet"/>
      <w:lvlText w:val="-"/>
      <w:pPr>
        <w:widowControl w:val="0"/>
        <w:ind w:hanging="360" w:left="2880"/>
      </w:pPr>
      <w:rPr>
        <w:rFonts w:ascii="Calibri" w:hAnsi="Calibri"/>
      </w:rPr>
    </w:lvl>
    <w:lvl w:ilvl="4">
      <w:numFmt w:val="bullet"/>
      <w:lvlText w:val="o"/>
      <w:pPr>
        <w:widowControl w:val="0"/>
        <w:ind w:hanging="360" w:left="3600"/>
      </w:pPr>
      <w:rPr>
        <w:rFonts w:ascii="Courier New" w:hAnsi="Courier New"/>
      </w:rPr>
    </w:lvl>
    <w:lvl w:ilvl="5">
      <w:numFmt w:val="bullet"/>
      <w:lvlText w:val=""/>
      <w:pPr>
        <w:widowControl w:val="0"/>
        <w:ind w:hanging="360" w:left="4320"/>
      </w:pPr>
      <w:rPr>
        <w:rFonts w:ascii="Wingdings" w:hAnsi="Wingdings"/>
      </w:rPr>
    </w:lvl>
    <w:lvl w:ilvl="6">
      <w:numFmt w:val="bullet"/>
      <w:lvlText w:val="-"/>
      <w:pPr>
        <w:widowControl w:val="0"/>
        <w:ind w:hanging="360" w:left="5040"/>
      </w:pPr>
      <w:rPr>
        <w:rFonts w:ascii="Calibri" w:hAnsi="Calibri"/>
      </w:rPr>
    </w:lvl>
    <w:lvl w:ilvl="7">
      <w:numFmt w:val="bullet"/>
      <w:lvlText w:val="o"/>
      <w:pPr>
        <w:widowControl w:val="0"/>
        <w:ind w:hanging="360" w:left="5760"/>
      </w:pPr>
      <w:rPr>
        <w:rFonts w:ascii="Courier New" w:hAnsi="Courier New"/>
      </w:rPr>
    </w:lvl>
    <w:lvl w:ilvl="8">
      <w:numFmt w:val="bullet"/>
      <w:lvlText w:val=""/>
      <w:pPr>
        <w:widowControl w:val="0"/>
        <w:ind w:hanging="360" w:left="6480"/>
      </w:pPr>
      <w:rPr>
        <w:rFonts w:ascii="Wingdings" w:hAnsi="Wingdings"/>
      </w:rPr>
    </w:lvl>
  </w:abstractNum>
  <w:num w:numId="1">
    <w:abstractNumId w:val="0"/>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0"/>
      <w:spacing w:after="0" w:line="360" w:lineRule="auto"/>
      <w:ind w:firstLine="709" w:left="0"/>
    </w:pPr>
    <w:rPr>
      <w:rFonts w:ascii="Times New Roman" w:hAnsi="Times New Roman"/>
      <w:sz w:val="28"/>
    </w:rPr>
  </w:style>
  <w:style w:default="1" w:styleId="Style_2_ch" w:type="character">
    <w:name w:val="Normal"/>
    <w:link w:val="Style_2"/>
    <w:rPr>
      <w:rFonts w:ascii="Times New Roman" w:hAnsi="Times New Roman"/>
      <w:sz w:val="28"/>
    </w:rPr>
  </w:style>
  <w:style w:styleId="Style_4" w:type="paragraph">
    <w:name w:val="toc 2"/>
    <w:next w:val="Style_2"/>
    <w:link w:val="Style_4_ch"/>
    <w:uiPriority w:val="39"/>
    <w:pPr>
      <w:widowControl w:val="0"/>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Знак Знак2 Char Char Знак Знак Char Char Знак Знак Char Char Знак Знак Char Char Знак Знак Char Char Знак Знак Char Char Знак Знак Char Char Знак Знак Char Char"/>
    <w:basedOn w:val="Style_2"/>
    <w:link w:val="Style_5_ch"/>
    <w:pPr>
      <w:widowControl w:val="0"/>
      <w:spacing w:afterAutospacing="on" w:beforeAutospacing="on" w:line="240" w:lineRule="auto"/>
      <w:ind w:firstLine="0" w:left="0"/>
    </w:pPr>
    <w:rPr>
      <w:rFonts w:ascii="Tahoma" w:hAnsi="Tahoma"/>
      <w:sz w:val="20"/>
    </w:rPr>
  </w:style>
  <w:style w:styleId="Style_5_ch" w:type="character">
    <w:name w:val="Знак Знак2 Char Char Знак Знак Char Char Знак Знак Char Char Знак Знак Char Char Знак Знак Char Char Знак Знак Char Char Знак Знак Char Char Знак Знак Char Char"/>
    <w:basedOn w:val="Style_2_ch"/>
    <w:link w:val="Style_5"/>
    <w:rPr>
      <w:rFonts w:ascii="Tahoma" w:hAnsi="Tahoma"/>
      <w:sz w:val="20"/>
    </w:rPr>
  </w:style>
  <w:style w:styleId="Style_6" w:type="paragraph">
    <w:name w:val="toc 4"/>
    <w:next w:val="Style_2"/>
    <w:link w:val="Style_6_ch"/>
    <w:uiPriority w:val="39"/>
    <w:pPr>
      <w:widowControl w:val="0"/>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toc 6"/>
    <w:next w:val="Style_2"/>
    <w:link w:val="Style_7_ch"/>
    <w:uiPriority w:val="39"/>
    <w:pPr>
      <w:widowControl w:val="0"/>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2"/>
    <w:link w:val="Style_8_ch"/>
    <w:uiPriority w:val="39"/>
    <w:pPr>
      <w:widowControl w:val="0"/>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Endnote"/>
    <w:link w:val="Style_9_ch"/>
    <w:pPr>
      <w:widowControl w:val="0"/>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2"/>
    <w:link w:val="Style_10_ch"/>
    <w:uiPriority w:val="9"/>
    <w:qFormat/>
    <w:pPr>
      <w:widowControl w:val="0"/>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List Paragraph"/>
    <w:basedOn w:val="Style_2"/>
    <w:link w:val="Style_11_ch"/>
    <w:pPr>
      <w:widowControl w:val="0"/>
      <w:ind w:firstLine="0" w:left="720"/>
      <w:contextualSpacing w:val="1"/>
    </w:pPr>
  </w:style>
  <w:style w:styleId="Style_11_ch" w:type="character">
    <w:name w:val="List Paragraph"/>
    <w:basedOn w:val="Style_2_ch"/>
    <w:link w:val="Style_11"/>
  </w:style>
  <w:style w:styleId="Style_12" w:type="paragraph">
    <w:name w:val="Balloon Text"/>
    <w:basedOn w:val="Style_2"/>
    <w:link w:val="Style_12_ch"/>
    <w:pPr>
      <w:widowControl w:val="0"/>
      <w:spacing w:line="240" w:lineRule="auto"/>
      <w:ind/>
    </w:pPr>
    <w:rPr>
      <w:rFonts w:ascii="Tahoma" w:hAnsi="Tahoma"/>
      <w:sz w:val="16"/>
    </w:rPr>
  </w:style>
  <w:style w:styleId="Style_12_ch" w:type="character">
    <w:name w:val="Balloon Text"/>
    <w:basedOn w:val="Style_2_ch"/>
    <w:link w:val="Style_12"/>
    <w:rPr>
      <w:rFonts w:ascii="Tahoma" w:hAnsi="Tahoma"/>
      <w:sz w:val="16"/>
    </w:rPr>
  </w:style>
  <w:style w:styleId="Style_13" w:type="paragraph">
    <w:name w:val="Знак Знак2 Char Char Знак Знак Char Char Знак Знак Char Char Знак Знак Char Char Знак Знак Char Char Знак Знак Char Char Знак Знак Char Char Знак Знак Char Char"/>
    <w:basedOn w:val="Style_2"/>
    <w:link w:val="Style_13_ch"/>
    <w:pPr>
      <w:widowControl w:val="0"/>
      <w:spacing w:afterAutospacing="on" w:beforeAutospacing="on" w:line="240" w:lineRule="auto"/>
      <w:ind w:firstLine="0" w:left="0"/>
    </w:pPr>
    <w:rPr>
      <w:rFonts w:ascii="Tahoma" w:hAnsi="Tahoma"/>
      <w:sz w:val="20"/>
    </w:rPr>
  </w:style>
  <w:style w:styleId="Style_13_ch" w:type="character">
    <w:name w:val="Знак Знак2 Char Char Знак Знак Char Char Знак Знак Char Char Знак Знак Char Char Знак Знак Char Char Знак Знак Char Char Знак Знак Char Char Знак Знак Char Char"/>
    <w:basedOn w:val="Style_2_ch"/>
    <w:link w:val="Style_13"/>
    <w:rPr>
      <w:rFonts w:ascii="Tahoma" w:hAnsi="Tahoma"/>
      <w:sz w:val="20"/>
    </w:rPr>
  </w:style>
  <w:style w:styleId="Style_14" w:type="paragraph">
    <w:name w:val="Знак Знак2 Char Char Знак Знак Char Char Знак Знак Char Char Знак Знак Char Char Знак Знак Char Char Знак Знак Char Char Знак Знак Char Char Знак Знак Char Char"/>
    <w:basedOn w:val="Style_2"/>
    <w:link w:val="Style_14_ch"/>
    <w:pPr>
      <w:widowControl w:val="0"/>
      <w:spacing w:afterAutospacing="on" w:beforeAutospacing="on" w:line="240" w:lineRule="auto"/>
      <w:ind w:firstLine="0" w:left="0"/>
    </w:pPr>
    <w:rPr>
      <w:rFonts w:ascii="Tahoma" w:hAnsi="Tahoma"/>
      <w:sz w:val="20"/>
    </w:rPr>
  </w:style>
  <w:style w:styleId="Style_14_ch" w:type="character">
    <w:name w:val="Знак Знак2 Char Char Знак Знак Char Char Знак Знак Char Char Знак Знак Char Char Знак Знак Char Char Знак Знак Char Char Знак Знак Char Char Знак Знак Char Char"/>
    <w:basedOn w:val="Style_2_ch"/>
    <w:link w:val="Style_14"/>
    <w:rPr>
      <w:rFonts w:ascii="Tahoma" w:hAnsi="Tahoma"/>
      <w:sz w:val="20"/>
    </w:rPr>
  </w:style>
  <w:style w:styleId="Style_15" w:type="paragraph">
    <w:name w:val="toc 3"/>
    <w:next w:val="Style_2"/>
    <w:link w:val="Style_15_ch"/>
    <w:uiPriority w:val="39"/>
    <w:pPr>
      <w:widowControl w:val="0"/>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6" w:type="paragraph">
    <w:name w:val="Default Paragraph Font"/>
    <w:link w:val="Style_16_ch"/>
  </w:style>
  <w:style w:styleId="Style_16_ch" w:type="character">
    <w:name w:val="Default Paragraph Font"/>
    <w:link w:val="Style_16"/>
  </w:style>
  <w:style w:styleId="Style_17" w:type="paragraph">
    <w:name w:val="heading 5"/>
    <w:next w:val="Style_2"/>
    <w:link w:val="Style_17_ch"/>
    <w:uiPriority w:val="9"/>
    <w:qFormat/>
    <w:pPr>
      <w:widowControl w:val="0"/>
      <w:spacing w:after="120" w:before="120"/>
      <w:ind/>
      <w:jc w:val="both"/>
      <w:outlineLvl w:val="4"/>
    </w:pPr>
    <w:rPr>
      <w:rFonts w:ascii="XO Thames" w:hAnsi="XO Thames"/>
      <w:b w:val="1"/>
      <w:sz w:val="22"/>
    </w:rPr>
  </w:style>
  <w:style w:styleId="Style_17_ch" w:type="character">
    <w:name w:val="heading 5"/>
    <w:link w:val="Style_17"/>
    <w:rPr>
      <w:rFonts w:ascii="XO Thames" w:hAnsi="XO Thames"/>
      <w:b w:val="1"/>
      <w:sz w:val="22"/>
    </w:rPr>
  </w:style>
  <w:style w:styleId="Style_18" w:type="paragraph">
    <w:name w:val="heading 1"/>
    <w:next w:val="Style_2"/>
    <w:link w:val="Style_18_ch"/>
    <w:uiPriority w:val="9"/>
    <w:qFormat/>
    <w:pPr>
      <w:widowControl w:val="0"/>
      <w:spacing w:after="120" w:before="120"/>
      <w:ind/>
      <w:jc w:val="both"/>
      <w:outlineLvl w:val="0"/>
    </w:pPr>
    <w:rPr>
      <w:rFonts w:ascii="XO Thames" w:hAnsi="XO Thames"/>
      <w:b w:val="1"/>
      <w:sz w:val="32"/>
    </w:rPr>
  </w:style>
  <w:style w:styleId="Style_18_ch" w:type="character">
    <w:name w:val="heading 1"/>
    <w:link w:val="Style_18"/>
    <w:rPr>
      <w:rFonts w:ascii="XO Thames" w:hAnsi="XO Thames"/>
      <w:b w:val="1"/>
      <w:sz w:val="32"/>
    </w:rPr>
  </w:style>
  <w:style w:styleId="Style_3" w:type="paragraph">
    <w:name w:val="Hyperlink"/>
    <w:link w:val="Style_3_ch"/>
    <w:rPr>
      <w:color w:val="0000FF"/>
      <w:u w:val="single"/>
    </w:rPr>
  </w:style>
  <w:style w:styleId="Style_3_ch" w:type="character">
    <w:name w:val="Hyperlink"/>
    <w:link w:val="Style_3"/>
    <w:rPr>
      <w:color w:val="0000FF"/>
      <w:u w:val="single"/>
    </w:rPr>
  </w:style>
  <w:style w:styleId="Style_19" w:type="paragraph">
    <w:name w:val="Footnote"/>
    <w:link w:val="Style_19_ch"/>
    <w:pPr>
      <w:widowControl w:val="0"/>
      <w:ind w:firstLine="851" w:left="0"/>
      <w:jc w:val="both"/>
    </w:pPr>
    <w:rPr>
      <w:rFonts w:ascii="XO Thames" w:hAnsi="XO Thames"/>
      <w:sz w:val="22"/>
    </w:rPr>
  </w:style>
  <w:style w:styleId="Style_19_ch" w:type="character">
    <w:name w:val="Footnote"/>
    <w:link w:val="Style_19"/>
    <w:rPr>
      <w:rFonts w:ascii="XO Thames" w:hAnsi="XO Thames"/>
      <w:sz w:val="22"/>
    </w:rPr>
  </w:style>
  <w:style w:styleId="Style_20" w:type="paragraph">
    <w:name w:val="toc 1"/>
    <w:next w:val="Style_2"/>
    <w:link w:val="Style_20_ch"/>
    <w:uiPriority w:val="39"/>
    <w:pPr>
      <w:widowControl w:val="0"/>
      <w:ind w:firstLine="0" w:left="0"/>
      <w:jc w:val="left"/>
    </w:pPr>
    <w:rPr>
      <w:rFonts w:ascii="XO Thames" w:hAnsi="XO Thames"/>
      <w:b w:val="1"/>
      <w:sz w:val="28"/>
    </w:rPr>
  </w:style>
  <w:style w:styleId="Style_20_ch" w:type="character">
    <w:name w:val="toc 1"/>
    <w:link w:val="Style_20"/>
    <w:rPr>
      <w:rFonts w:ascii="XO Thames" w:hAnsi="XO Thames"/>
      <w:b w:val="1"/>
      <w:sz w:val="28"/>
    </w:rPr>
  </w:style>
  <w:style w:styleId="Style_21" w:type="paragraph">
    <w:name w:val="Header and Footer"/>
    <w:link w:val="Style_21_ch"/>
    <w:pPr>
      <w:widowControl w:val="0"/>
      <w:spacing w:line="240" w:lineRule="auto"/>
      <w:ind/>
      <w:jc w:val="both"/>
    </w:pPr>
    <w:rPr>
      <w:rFonts w:ascii="XO Thames" w:hAnsi="XO Thames"/>
      <w:sz w:val="20"/>
    </w:rPr>
  </w:style>
  <w:style w:styleId="Style_21_ch" w:type="character">
    <w:name w:val="Header and Footer"/>
    <w:link w:val="Style_21"/>
    <w:rPr>
      <w:rFonts w:ascii="XO Thames" w:hAnsi="XO Thames"/>
      <w:sz w:val="20"/>
    </w:rPr>
  </w:style>
  <w:style w:styleId="Style_22" w:type="paragraph">
    <w:name w:val="toc 9"/>
    <w:next w:val="Style_2"/>
    <w:link w:val="Style_22_ch"/>
    <w:uiPriority w:val="39"/>
    <w:pPr>
      <w:widowControl w:val="0"/>
      <w:ind w:firstLine="0" w:left="1600"/>
      <w:jc w:val="left"/>
    </w:pPr>
    <w:rPr>
      <w:rFonts w:ascii="XO Thames" w:hAnsi="XO Thames"/>
      <w:sz w:val="28"/>
    </w:rPr>
  </w:style>
  <w:style w:styleId="Style_22_ch" w:type="character">
    <w:name w:val="toc 9"/>
    <w:link w:val="Style_22"/>
    <w:rPr>
      <w:rFonts w:ascii="XO Thames" w:hAnsi="XO Thames"/>
      <w:sz w:val="28"/>
    </w:rPr>
  </w:style>
  <w:style w:styleId="Style_23" w:type="paragraph">
    <w:name w:val="toc 8"/>
    <w:next w:val="Style_2"/>
    <w:link w:val="Style_23_ch"/>
    <w:uiPriority w:val="39"/>
    <w:pPr>
      <w:widowControl w:val="0"/>
      <w:ind w:firstLine="0" w:left="1400"/>
      <w:jc w:val="left"/>
    </w:pPr>
    <w:rPr>
      <w:rFonts w:ascii="XO Thames" w:hAnsi="XO Thames"/>
      <w:sz w:val="28"/>
    </w:rPr>
  </w:style>
  <w:style w:styleId="Style_23_ch" w:type="character">
    <w:name w:val="toc 8"/>
    <w:link w:val="Style_23"/>
    <w:rPr>
      <w:rFonts w:ascii="XO Thames" w:hAnsi="XO Thames"/>
      <w:sz w:val="28"/>
    </w:rPr>
  </w:style>
  <w:style w:styleId="Style_24" w:type="paragraph">
    <w:name w:val="toc 5"/>
    <w:next w:val="Style_2"/>
    <w:link w:val="Style_24_ch"/>
    <w:uiPriority w:val="39"/>
    <w:pPr>
      <w:widowControl w:val="0"/>
      <w:ind w:firstLine="0" w:left="800"/>
      <w:jc w:val="left"/>
    </w:pPr>
    <w:rPr>
      <w:rFonts w:ascii="XO Thames" w:hAnsi="XO Thames"/>
      <w:sz w:val="28"/>
    </w:rPr>
  </w:style>
  <w:style w:styleId="Style_24_ch" w:type="character">
    <w:name w:val="toc 5"/>
    <w:link w:val="Style_24"/>
    <w:rPr>
      <w:rFonts w:ascii="XO Thames" w:hAnsi="XO Thames"/>
      <w:sz w:val="28"/>
    </w:rPr>
  </w:style>
  <w:style w:styleId="Style_25" w:type="paragraph">
    <w:name w:val="Subtitle"/>
    <w:next w:val="Style_2"/>
    <w:link w:val="Style_25_ch"/>
    <w:uiPriority w:val="11"/>
    <w:qFormat/>
    <w:pPr>
      <w:widowControl w:val="0"/>
      <w:ind/>
      <w:jc w:val="both"/>
    </w:pPr>
    <w:rPr>
      <w:rFonts w:ascii="XO Thames" w:hAnsi="XO Thames"/>
      <w:i w:val="1"/>
      <w:sz w:val="24"/>
    </w:rPr>
  </w:style>
  <w:style w:styleId="Style_25_ch" w:type="character">
    <w:name w:val="Subtitle"/>
    <w:link w:val="Style_25"/>
    <w:rPr>
      <w:rFonts w:ascii="XO Thames" w:hAnsi="XO Thames"/>
      <w:i w:val="1"/>
      <w:sz w:val="24"/>
    </w:rPr>
  </w:style>
  <w:style w:styleId="Style_26" w:type="paragraph">
    <w:name w:val="Title"/>
    <w:next w:val="Style_2"/>
    <w:link w:val="Style_26_ch"/>
    <w:uiPriority w:val="10"/>
    <w:qFormat/>
    <w:pPr>
      <w:widowControl w:val="0"/>
      <w:spacing w:after="567" w:before="567"/>
      <w:ind/>
      <w:jc w:val="center"/>
    </w:pPr>
    <w:rPr>
      <w:rFonts w:ascii="XO Thames" w:hAnsi="XO Thames"/>
      <w:b w:val="1"/>
      <w:caps w:val="1"/>
      <w:sz w:val="40"/>
    </w:rPr>
  </w:style>
  <w:style w:styleId="Style_26_ch" w:type="character">
    <w:name w:val="Title"/>
    <w:link w:val="Style_26"/>
    <w:rPr>
      <w:rFonts w:ascii="XO Thames" w:hAnsi="XO Thames"/>
      <w:b w:val="1"/>
      <w:caps w:val="1"/>
      <w:sz w:val="40"/>
    </w:rPr>
  </w:style>
  <w:style w:styleId="Style_27" w:type="paragraph">
    <w:name w:val="heading 4"/>
    <w:next w:val="Style_2"/>
    <w:link w:val="Style_27_ch"/>
    <w:uiPriority w:val="9"/>
    <w:qFormat/>
    <w:pPr>
      <w:widowControl w:val="0"/>
      <w:spacing w:after="120" w:before="120"/>
      <w:ind/>
      <w:jc w:val="both"/>
      <w:outlineLvl w:val="3"/>
    </w:pPr>
    <w:rPr>
      <w:rFonts w:ascii="XO Thames" w:hAnsi="XO Thames"/>
      <w:b w:val="1"/>
      <w:sz w:val="24"/>
    </w:rPr>
  </w:style>
  <w:style w:styleId="Style_27_ch" w:type="character">
    <w:name w:val="heading 4"/>
    <w:link w:val="Style_27"/>
    <w:rPr>
      <w:rFonts w:ascii="XO Thames" w:hAnsi="XO Thames"/>
      <w:b w:val="1"/>
      <w:sz w:val="24"/>
    </w:rPr>
  </w:style>
  <w:style w:styleId="Style_28" w:type="paragraph">
    <w:name w:val="heading 2"/>
    <w:next w:val="Style_2"/>
    <w:link w:val="Style_28_ch"/>
    <w:uiPriority w:val="9"/>
    <w:qFormat/>
    <w:pPr>
      <w:widowControl w:val="0"/>
      <w:spacing w:after="120" w:before="120"/>
      <w:ind/>
      <w:jc w:val="both"/>
      <w:outlineLvl w:val="1"/>
    </w:pPr>
    <w:rPr>
      <w:rFonts w:ascii="XO Thames" w:hAnsi="XO Thames"/>
      <w:b w:val="1"/>
      <w:sz w:val="28"/>
    </w:rPr>
  </w:style>
  <w:style w:styleId="Style_28_ch" w:type="character">
    <w:name w:val="heading 2"/>
    <w:link w:val="Style_28"/>
    <w:rPr>
      <w:rFonts w:ascii="XO Thames" w:hAnsi="XO Thames"/>
      <w:b w:val="1"/>
      <w:sz w:val="28"/>
    </w:rPr>
  </w:style>
  <w:style w:default="1" w:styleId="Style_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WithEffects.xml" Type="http://schemas.microsoft.com/office/2007/relationships/stylesWithEffects"/>
  <Relationship Id="rId1" Target="fontTable.xml" Type="http://schemas.openxmlformats.org/officeDocument/2006/relationships/fontTable"/>
  <Relationship Id="rId7" Target="numbering.xml" Type="http://schemas.openxmlformats.org/officeDocument/2006/relationships/numbering"/>
  <Relationship Id="rId5" Target="webSettings.xml" Type="http://schemas.openxmlformats.org/officeDocument/2006/relationships/webSettings"/>
  <Relationship Id="rId3" Target="styles.xml" Type="http://schemas.openxmlformats.org/officeDocument/2006/relationships/styles"/>
  <Relationship Id="rId2" Target="settings.xml" Type="http://schemas.openxmlformats.org/officeDocument/2006/relationships/settings"/>
  <Relationship Id="rId6" Target="theme/theme1.xml" Type="http://schemas.openxmlformats.org/officeDocument/2006/relationships/theme"/>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MyOffice-CoreFramework-Linux/40-1423.1132.10486.1056.1@caa01adfe7514f7087162c1f43c2b26a8b6911f1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2026-06-23T04:21:15Z</dcterms:created>
  <dcterms:modified xsi:type="dcterms:W3CDTF">2026-10-22T03:02:02Z</dcterms:modified>
</cp:coreProperties>
</file>