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06"/>
        <w:jc w:val="center"/>
        <w:spacing w:line="264" w:lineRule="auto"/>
        <w:rPr>
          <w:b/>
          <w:sz w:val="26"/>
        </w:rPr>
      </w:pPr>
      <w:r>
        <w:rPr>
          <w:b/>
          <w:sz w:val="26"/>
        </w:rPr>
        <w:t xml:space="preserve">ДОГОВОР № </w:t>
      </w:r>
      <w:r>
        <w:rPr>
          <w:b/>
          <w:color w:val="ff0000"/>
          <w:sz w:val="26"/>
        </w:rPr>
        <w:t xml:space="preserve">___________--</w:t>
      </w:r>
      <w:r>
        <w:rPr>
          <w:b/>
          <w:sz w:val="26"/>
        </w:rPr>
        <w:t xml:space="preserve">       ПРОЕКТ</w:t>
      </w:r>
      <w:r>
        <w:rPr>
          <w:b/>
          <w:sz w:val="26"/>
        </w:rPr>
      </w:r>
    </w:p>
    <w:p>
      <w:pPr>
        <w:pStyle w:val="706"/>
        <w:jc w:val="center"/>
        <w:spacing w:line="264" w:lineRule="auto"/>
        <w:rPr>
          <w:b/>
          <w:sz w:val="26"/>
        </w:rPr>
      </w:pPr>
      <w:r>
        <w:rPr>
          <w:b/>
          <w:sz w:val="26"/>
        </w:rPr>
        <w:t xml:space="preserve">купли-продажи недвижимого имущества </w:t>
      </w:r>
      <w:r>
        <w:rPr>
          <w:b/>
          <w:sz w:val="26"/>
        </w:rPr>
        <w:t xml:space="preserve">(электронный)</w:t>
      </w:r>
      <w:r>
        <w:rPr>
          <w:b/>
          <w:sz w:val="26"/>
        </w:rPr>
      </w:r>
    </w:p>
    <w:tbl>
      <w:tblPr>
        <w:tblStyle w:val="767"/>
        <w:tblW w:w="10137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068"/>
        <w:gridCol w:w="5068"/>
      </w:tblGrid>
      <w:tr>
        <w:tblPrEx/>
        <w:trPr>
          <w:trHeight w:val="329"/>
        </w:trPr>
        <w:tc>
          <w:tcPr>
            <w:tcW w:w="5068" w:type="dxa"/>
            <w:textDirection w:val="lrTb"/>
            <w:noWrap w:val="false"/>
          </w:tcPr>
          <w:p>
            <w:pPr>
              <w:pStyle w:val="706"/>
              <w:ind w:left="0" w:right="0" w:firstLine="0"/>
              <w:jc w:val="left"/>
              <w:spacing w:before="0" w:after="0" w:line="264" w:lineRule="auto"/>
              <w:widowControl/>
              <w:rPr>
                <w:sz w:val="26"/>
              </w:rPr>
            </w:pPr>
            <w:r>
              <w:rPr>
                <w:color w:val="000000"/>
                <w:spacing w:val="0"/>
                <w:sz w:val="20"/>
                <w:szCs w:val="20"/>
              </w:rPr>
            </w:r>
            <w:r>
              <w:rPr>
                <w:sz w:val="26"/>
              </w:rPr>
            </w:r>
          </w:p>
          <w:p>
            <w:pPr>
              <w:pStyle w:val="706"/>
              <w:ind w:left="0" w:right="0" w:firstLine="0"/>
              <w:jc w:val="left"/>
              <w:spacing w:before="0" w:after="0" w:line="264" w:lineRule="auto"/>
              <w:widowControl/>
              <w:rPr>
                <w:sz w:val="26"/>
              </w:rPr>
            </w:pPr>
            <w:r>
              <w:rPr>
                <w:color w:val="000000"/>
                <w:spacing w:val="0"/>
                <w:sz w:val="26"/>
                <w:szCs w:val="20"/>
              </w:rPr>
              <w:t xml:space="preserve">г. Калининград</w:t>
            </w:r>
            <w:r>
              <w:rPr>
                <w:sz w:val="26"/>
              </w:rPr>
            </w:r>
          </w:p>
          <w:p>
            <w:pPr>
              <w:pStyle w:val="706"/>
              <w:ind w:left="0" w:right="0" w:firstLine="0"/>
              <w:jc w:val="left"/>
              <w:spacing w:before="0" w:after="0" w:line="264" w:lineRule="auto"/>
              <w:widowControl/>
              <w:rPr>
                <w:sz w:val="26"/>
              </w:rPr>
            </w:pPr>
            <w:r>
              <w:rPr>
                <w:color w:val="000000"/>
                <w:spacing w:val="0"/>
                <w:sz w:val="20"/>
                <w:szCs w:val="20"/>
              </w:rPr>
            </w:r>
            <w:r>
              <w:rPr>
                <w:sz w:val="26"/>
              </w:rPr>
            </w:r>
          </w:p>
        </w:tc>
        <w:tc>
          <w:tcPr>
            <w:tcW w:w="5068" w:type="dxa"/>
            <w:textDirection w:val="lrTb"/>
            <w:noWrap w:val="false"/>
          </w:tcPr>
          <w:p>
            <w:pPr>
              <w:pStyle w:val="706"/>
              <w:ind w:left="0" w:right="0" w:firstLine="0"/>
              <w:jc w:val="right"/>
              <w:spacing w:before="0" w:after="0" w:line="264" w:lineRule="auto"/>
              <w:widowControl/>
              <w:rPr>
                <w:color w:val="000000"/>
                <w:sz w:val="26"/>
              </w:rPr>
            </w:pPr>
            <w:r>
              <w:rPr>
                <w:color w:val="000000"/>
                <w:spacing w:val="0"/>
                <w:sz w:val="20"/>
                <w:szCs w:val="20"/>
              </w:rPr>
            </w:r>
            <w:r>
              <w:rPr>
                <w:color w:val="000000"/>
                <w:sz w:val="26"/>
              </w:rPr>
            </w:r>
          </w:p>
          <w:p>
            <w:pPr>
              <w:pStyle w:val="706"/>
              <w:ind w:left="0" w:right="0" w:firstLine="0"/>
              <w:jc w:val="right"/>
              <w:spacing w:before="0" w:after="0" w:line="264" w:lineRule="auto"/>
              <w:widowControl/>
              <w:rPr>
                <w:color w:val="000000"/>
                <w:sz w:val="26"/>
              </w:rPr>
            </w:pPr>
            <w:r>
              <w:rPr>
                <w:color w:val="000000"/>
                <w:spacing w:val="0"/>
                <w:sz w:val="26"/>
                <w:szCs w:val="20"/>
              </w:rPr>
              <w:t xml:space="preserve">«___» ______________ 20__ года</w:t>
            </w:r>
            <w:r>
              <w:rPr>
                <w:color w:val="000000"/>
                <w:sz w:val="26"/>
              </w:rPr>
            </w:r>
          </w:p>
        </w:tc>
      </w:tr>
    </w:tbl>
    <w:p>
      <w:pPr>
        <w:pStyle w:val="706"/>
        <w:ind w:left="0" w:right="0" w:firstLine="851"/>
        <w:jc w:val="both"/>
        <w:rPr>
          <w:sz w:val="26"/>
        </w:rPr>
      </w:pPr>
      <w:r>
        <w:rPr>
          <w:sz w:val="26"/>
        </w:rPr>
        <w:t xml:space="preserve">Территориальное управление Федерального агентства по управлению государственным имуществом в Калининградской области, и</w:t>
      </w:r>
      <w:r>
        <w:rPr>
          <w:sz w:val="26"/>
        </w:rPr>
        <w:t xml:space="preserve">менуемое в дальнейшем «Продавец», в лице ___________________________________________, действующего на основании Положения о Территориальном управлении Федерального агентства по управлению государственным имуществом в Калининградской области, утверждённого </w:t>
      </w:r>
      <w:r>
        <w:rPr>
          <w:sz w:val="26"/>
        </w:rPr>
        <w:t xml:space="preserve">Приказом Федерального агентства по управлению государственным имуществом от 23 июня 2023 года № 131 «Об утверждении положений о территориальных органах Федерального агентства по управлению государственным имуществом»</w:t>
      </w:r>
      <w:r>
        <w:rPr>
          <w:sz w:val="26"/>
        </w:rPr>
        <w:t xml:space="preserve">, и _____________________ ________________________________, именуемый в дальнейшем «Покупатель» с другой стороны, на основании Протокола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подведения итогов аукциона по продаже арестованного имущества в электронной форме</w:t>
      </w:r>
      <w:r>
        <w:rPr>
          <w:sz w:val="24"/>
          <w:szCs w:val="24"/>
        </w:rPr>
        <w:t xml:space="preserve"> </w:t>
      </w:r>
      <w:r>
        <w:rPr>
          <w:sz w:val="26"/>
        </w:rPr>
        <w:t xml:space="preserve">№ ______ </w:t>
      </w:r>
      <w:r>
        <w:rPr>
          <w:color w:val="000000"/>
          <w:sz w:val="26"/>
        </w:rPr>
        <w:t xml:space="preserve">от ______ г., проведенных Продавцом ________ 20__года </w:t>
      </w:r>
      <w:r>
        <w:rPr>
          <w:sz w:val="26"/>
        </w:rPr>
        <w:t xml:space="preserve">по адресу: электронной площадке </w:t>
      </w:r>
      <w:r>
        <w:rPr>
          <w:sz w:val="26"/>
        </w:rPr>
        <w:t xml:space="preserve">«РТС-тендер»</w:t>
      </w:r>
      <w:r>
        <w:rPr>
          <w:color w:val="000000"/>
          <w:sz w:val="26"/>
        </w:rPr>
        <w:t xml:space="preserve">, находящейся в сети интернет по адресу: </w:t>
      </w:r>
      <w:hyperlink r:id="rId12" w:tooltip="https://www.rts-tender.ru/" w:history="1">
        <w:r>
          <w:rPr>
            <w:sz w:val="26"/>
          </w:rPr>
          <w:t xml:space="preserve">https://www.rts-tender.ru</w:t>
        </w:r>
      </w:hyperlink>
      <w:r>
        <w:rPr>
          <w:sz w:val="26"/>
        </w:rPr>
        <w:t xml:space="preserve">,</w:t>
      </w:r>
      <w:r>
        <w:rPr>
          <w:color w:val="000000"/>
          <w:sz w:val="26"/>
        </w:rPr>
        <w:t xml:space="preserve"> подписали настоящий Договор о нижеследующем:</w:t>
      </w:r>
      <w:r>
        <w:rPr>
          <w:sz w:val="26"/>
        </w:rPr>
      </w:r>
    </w:p>
    <w:p>
      <w:pPr>
        <w:pStyle w:val="706"/>
        <w:ind w:left="0" w:right="0" w:firstLine="720"/>
        <w:jc w:val="both"/>
        <w:spacing w:line="264" w:lineRule="auto"/>
        <w:rPr>
          <w:color w:val="000000"/>
          <w:sz w:val="26"/>
        </w:rPr>
      </w:pPr>
      <w:r>
        <w:rPr>
          <w:color w:val="000000"/>
          <w:sz w:val="26"/>
        </w:rPr>
      </w:r>
      <w:r>
        <w:rPr>
          <w:color w:val="000000"/>
          <w:sz w:val="26"/>
        </w:rPr>
      </w:r>
    </w:p>
    <w:p>
      <w:pPr>
        <w:pStyle w:val="741"/>
        <w:jc w:val="center"/>
        <w:spacing w:line="264" w:lineRule="auto"/>
        <w:rPr>
          <w:b/>
          <w:sz w:val="26"/>
        </w:rPr>
      </w:pPr>
      <w:r>
        <w:rPr>
          <w:b/>
          <w:sz w:val="26"/>
        </w:rPr>
        <w:t xml:space="preserve">1. Предмет Договора</w:t>
      </w:r>
      <w:r>
        <w:rPr>
          <w:b/>
          <w:sz w:val="26"/>
        </w:rPr>
      </w:r>
    </w:p>
    <w:p>
      <w:pPr>
        <w:pStyle w:val="741"/>
        <w:jc w:val="center"/>
        <w:spacing w:line="264" w:lineRule="auto"/>
        <w:rPr>
          <w:b/>
          <w:sz w:val="26"/>
        </w:rPr>
      </w:pPr>
      <w:r>
        <w:rPr>
          <w:b/>
          <w:sz w:val="26"/>
        </w:rPr>
      </w:r>
      <w:r>
        <w:rPr>
          <w:b/>
          <w:sz w:val="26"/>
        </w:rPr>
      </w:r>
    </w:p>
    <w:p>
      <w:pPr>
        <w:pStyle w:val="706"/>
        <w:ind w:left="0" w:right="0" w:firstLine="902"/>
        <w:jc w:val="both"/>
        <w:spacing w:line="264" w:lineRule="auto"/>
        <w:rPr>
          <w:sz w:val="26"/>
        </w:rPr>
      </w:pPr>
      <w:r>
        <w:rPr>
          <w:sz w:val="26"/>
        </w:rPr>
        <w:t xml:space="preserve">1.1. Продавец продает, а Покупатель оплачивает имущество, </w:t>
      </w:r>
      <w:r>
        <w:rPr>
          <w:color w:val="000000"/>
          <w:sz w:val="26"/>
        </w:rPr>
        <w:t xml:space="preserve">а именно: </w:t>
      </w:r>
      <w:r>
        <w:rPr>
          <w:sz w:val="26"/>
        </w:rPr>
        <w:t xml:space="preserve">_______________________________________ </w:t>
      </w:r>
      <w:r>
        <w:rPr>
          <w:color w:val="000000"/>
          <w:sz w:val="26"/>
        </w:rPr>
        <w:t xml:space="preserve">(далее – Имущество).</w:t>
      </w:r>
      <w:r>
        <w:rPr>
          <w:sz w:val="26"/>
        </w:rPr>
      </w:r>
    </w:p>
    <w:p>
      <w:pPr>
        <w:pStyle w:val="706"/>
        <w:ind w:left="0" w:right="0" w:firstLine="902"/>
        <w:jc w:val="both"/>
        <w:spacing w:line="264" w:lineRule="auto"/>
        <w:rPr>
          <w:sz w:val="26"/>
        </w:rPr>
      </w:pPr>
      <w:r>
        <w:rPr>
          <w:sz w:val="26"/>
        </w:rPr>
        <w:t xml:space="preserve">1.2. Имущество продается на основании постановления судебного пристава-исполнителя отдела _____ от ______ г. № ____., постановления судебного приста</w:t>
      </w:r>
      <w:r>
        <w:rPr>
          <w:sz w:val="26"/>
        </w:rPr>
        <w:t xml:space="preserve">ва-исполнителя отдела _______________ УФССП по Калининградской области о снижении стоимости на 15% от ______ г. № ____, в рамках исполнительного производства №  _____________, в соответствии с заявкой УФССП по Калининградской области №  _____ от ________ г</w:t>
      </w:r>
      <w:r>
        <w:rPr>
          <w:color w:val="000000"/>
          <w:sz w:val="26"/>
        </w:rPr>
        <w:t xml:space="preserve">.</w:t>
      </w:r>
      <w:bookmarkStart w:id="0" w:name="_GoBack"/>
      <w:r/>
      <w:bookmarkEnd w:id="0"/>
      <w:r/>
      <w:r>
        <w:rPr>
          <w:sz w:val="26"/>
        </w:rPr>
      </w:r>
    </w:p>
    <w:p>
      <w:pPr>
        <w:pStyle w:val="706"/>
        <w:ind w:left="0" w:right="0" w:firstLine="902"/>
        <w:jc w:val="both"/>
        <w:spacing w:line="264" w:lineRule="auto"/>
        <w:rPr>
          <w:sz w:val="26"/>
        </w:rPr>
      </w:pPr>
      <w:r>
        <w:rPr>
          <w:sz w:val="26"/>
        </w:rPr>
      </w:r>
      <w:r>
        <w:rPr>
          <w:sz w:val="26"/>
        </w:rPr>
      </w:r>
    </w:p>
    <w:p>
      <w:pPr>
        <w:pStyle w:val="706"/>
        <w:ind w:left="0" w:right="0" w:firstLine="902"/>
        <w:jc w:val="center"/>
        <w:spacing w:line="264" w:lineRule="auto"/>
        <w:rPr>
          <w:b/>
          <w:color w:val="000000"/>
          <w:sz w:val="26"/>
        </w:rPr>
      </w:pPr>
      <w:r>
        <w:rPr>
          <w:b/>
          <w:color w:val="000000"/>
          <w:sz w:val="26"/>
        </w:rPr>
        <w:t xml:space="preserve">2. Цена договора и условия расчетов</w:t>
      </w:r>
      <w:r>
        <w:rPr>
          <w:b/>
          <w:color w:val="000000"/>
          <w:sz w:val="26"/>
        </w:rPr>
      </w:r>
    </w:p>
    <w:p>
      <w:pPr>
        <w:pStyle w:val="706"/>
        <w:ind w:left="0" w:right="0" w:firstLine="902"/>
        <w:jc w:val="both"/>
        <w:spacing w:line="264" w:lineRule="auto"/>
        <w:rPr>
          <w:sz w:val="26"/>
        </w:rPr>
      </w:pPr>
      <w:r>
        <w:rPr>
          <w:sz w:val="26"/>
        </w:rPr>
      </w:r>
      <w:r>
        <w:rPr>
          <w:sz w:val="26"/>
        </w:rPr>
      </w:r>
    </w:p>
    <w:p>
      <w:pPr>
        <w:pStyle w:val="706"/>
        <w:ind w:left="0" w:right="0" w:firstLine="902"/>
        <w:jc w:val="both"/>
        <w:spacing w:line="264" w:lineRule="auto"/>
        <w:rPr>
          <w:sz w:val="26"/>
        </w:rPr>
      </w:pPr>
      <w:r>
        <w:rPr>
          <w:sz w:val="26"/>
        </w:rPr>
        <w:t xml:space="preserve">2.1. Начальная продажная цена Имущества составляет ____________ рублей.</w:t>
      </w:r>
      <w:r>
        <w:rPr>
          <w:sz w:val="26"/>
        </w:rPr>
      </w:r>
    </w:p>
    <w:p>
      <w:pPr>
        <w:pStyle w:val="706"/>
        <w:ind w:left="0" w:right="0" w:firstLine="902"/>
        <w:jc w:val="both"/>
        <w:spacing w:line="264" w:lineRule="auto"/>
        <w:rPr>
          <w:sz w:val="26"/>
        </w:rPr>
      </w:pPr>
      <w:r>
        <w:rPr>
          <w:sz w:val="26"/>
        </w:rPr>
        <w:t xml:space="preserve">2.2. Цена Имущества по результатам торгов составила ___________ рублей.</w:t>
      </w:r>
      <w:r>
        <w:rPr>
          <w:sz w:val="26"/>
        </w:rPr>
      </w:r>
    </w:p>
    <w:p>
      <w:pPr>
        <w:pStyle w:val="706"/>
        <w:ind w:left="0" w:right="0" w:firstLine="902"/>
        <w:jc w:val="both"/>
        <w:spacing w:line="264" w:lineRule="auto"/>
        <w:rPr>
          <w:color w:val="000000"/>
          <w:sz w:val="26"/>
        </w:rPr>
      </w:pPr>
      <w:r>
        <w:rPr>
          <w:color w:val="000000"/>
          <w:sz w:val="26"/>
        </w:rPr>
        <w:t xml:space="preserve">2.3. Покупатель полностью оплатил цену Имущества до подписания настоящего договора в два этапа:</w:t>
      </w:r>
      <w:r>
        <w:rPr>
          <w:color w:val="000000"/>
          <w:sz w:val="26"/>
        </w:rPr>
      </w:r>
    </w:p>
    <w:p>
      <w:pPr>
        <w:pStyle w:val="706"/>
        <w:ind w:left="0" w:right="0" w:firstLine="902"/>
        <w:jc w:val="both"/>
        <w:spacing w:line="264" w:lineRule="auto"/>
        <w:rPr>
          <w:color w:val="000000"/>
          <w:sz w:val="26"/>
        </w:rPr>
      </w:pPr>
      <w:r>
        <w:rPr>
          <w:color w:val="000000"/>
          <w:sz w:val="26"/>
        </w:rPr>
        <w:t xml:space="preserve">______________ года Покупателем в качестве задатка была оплачена сумма в размере </w:t>
      </w:r>
      <w:r>
        <w:rPr>
          <w:sz w:val="26"/>
        </w:rPr>
        <w:t xml:space="preserve">_________ рублей</w:t>
      </w:r>
      <w:r>
        <w:rPr>
          <w:color w:val="000000"/>
          <w:sz w:val="26"/>
        </w:rPr>
        <w:t xml:space="preserve">.</w:t>
      </w:r>
      <w:r>
        <w:rPr>
          <w:color w:val="000000"/>
          <w:sz w:val="26"/>
        </w:rPr>
      </w:r>
    </w:p>
    <w:p>
      <w:pPr>
        <w:pStyle w:val="706"/>
        <w:ind w:left="0" w:right="0" w:firstLine="902"/>
        <w:jc w:val="both"/>
        <w:spacing w:line="264" w:lineRule="auto"/>
        <w:rPr>
          <w:color w:val="000000"/>
          <w:sz w:val="26"/>
        </w:rPr>
      </w:pPr>
      <w:r>
        <w:rPr>
          <w:color w:val="ff0000"/>
          <w:sz w:val="26"/>
        </w:rPr>
        <w:t xml:space="preserve">________________</w:t>
      </w:r>
      <w:r>
        <w:rPr>
          <w:color w:val="000000"/>
          <w:sz w:val="26"/>
        </w:rPr>
        <w:t xml:space="preserve"> года по результатам торгов Покупателем на основании Протокола № __________ </w:t>
      </w:r>
      <w:r>
        <w:rPr>
          <w:sz w:val="26"/>
        </w:rPr>
        <w:t xml:space="preserve">о результатах торгов по продаже арестованного имущества </w:t>
      </w:r>
      <w:r>
        <w:rPr>
          <w:color w:val="000000"/>
          <w:sz w:val="26"/>
        </w:rPr>
        <w:t xml:space="preserve">от ___________ была оплачена сумма в размере </w:t>
      </w:r>
      <w:r>
        <w:rPr>
          <w:sz w:val="26"/>
        </w:rPr>
        <w:t xml:space="preserve">_____________ рубля.</w:t>
      </w:r>
      <w:r>
        <w:rPr>
          <w:color w:val="000000"/>
          <w:sz w:val="26"/>
        </w:rPr>
      </w:r>
    </w:p>
    <w:p>
      <w:pPr>
        <w:pStyle w:val="706"/>
        <w:ind w:left="0" w:right="0" w:firstLine="902"/>
        <w:jc w:val="both"/>
        <w:spacing w:line="264" w:lineRule="auto"/>
        <w:rPr>
          <w:color w:val="000000"/>
          <w:sz w:val="26"/>
        </w:rPr>
      </w:pPr>
      <w:r>
        <w:rPr>
          <w:color w:val="000000"/>
          <w:sz w:val="26"/>
        </w:rPr>
        <w:t xml:space="preserve">2.4. Обязательства Покупателя по оплате Имущества считаются исполненными в полном объеме.</w:t>
      </w:r>
      <w:r>
        <w:rPr>
          <w:color w:val="000000"/>
          <w:sz w:val="26"/>
        </w:rPr>
      </w:r>
    </w:p>
    <w:p>
      <w:pPr>
        <w:pStyle w:val="706"/>
        <w:jc w:val="center"/>
        <w:spacing w:line="264" w:lineRule="auto"/>
        <w:rPr>
          <w:b/>
          <w:sz w:val="26"/>
        </w:rPr>
      </w:pPr>
      <w:r>
        <w:rPr>
          <w:b/>
          <w:sz w:val="26"/>
        </w:rPr>
        <w:t xml:space="preserve">3. Передача имущества и переход права собственности</w:t>
      </w:r>
      <w:r>
        <w:rPr>
          <w:b/>
          <w:sz w:val="26"/>
        </w:rPr>
      </w:r>
    </w:p>
    <w:p>
      <w:pPr>
        <w:pStyle w:val="706"/>
        <w:ind w:left="0" w:right="0" w:firstLine="709"/>
        <w:jc w:val="both"/>
        <w:spacing w:line="264" w:lineRule="auto"/>
        <w:rPr>
          <w:sz w:val="26"/>
        </w:rPr>
      </w:pPr>
      <w:r>
        <w:rPr>
          <w:sz w:val="26"/>
        </w:rPr>
      </w:r>
      <w:r>
        <w:rPr>
          <w:sz w:val="26"/>
        </w:rPr>
      </w:r>
    </w:p>
    <w:p>
      <w:pPr>
        <w:pStyle w:val="753"/>
        <w:ind w:left="0" w:right="0" w:firstLine="709"/>
        <w:spacing w:line="264" w:lineRule="auto"/>
      </w:pPr>
      <w:r>
        <w:rPr>
          <w:sz w:val="26"/>
        </w:rPr>
        <w:t xml:space="preserve">3.1. Указанное в пункте 1.1. настоящего Договора Имущество передается Покупателю путем оформления акта приема-передачи документов, который подписывается между Продавцом и Покупателем в течение пяти рабочих дней после подписания Договора.</w:t>
      </w:r>
      <w:r>
        <w:rPr>
          <w:sz w:val="26"/>
        </w:rPr>
      </w:r>
    </w:p>
    <w:p>
      <w:pPr>
        <w:pStyle w:val="753"/>
        <w:ind w:left="0" w:right="0" w:firstLine="709"/>
        <w:spacing w:line="264" w:lineRule="auto"/>
      </w:pPr>
      <w:r>
        <w:rPr>
          <w:sz w:val="26"/>
        </w:rPr>
        <w:t xml:space="preserve">3.2. Переход права собственности на Имущество к Покупателю оформляется после выполнения Покупателем обязательств по Договору и передачи Продавцом судебному приставу-исполнителю отчета о реализации арестованного имущества (далее – Отчет) и Договора. Копия От</w:t>
      </w:r>
      <w:r>
        <w:rPr>
          <w:sz w:val="26"/>
        </w:rPr>
        <w:t xml:space="preserve">чета предоставляется Продавцом Покупателю в течение трех рабочих дней после направления судебному приставу-исполнителю.</w:t>
      </w:r>
      <w:r>
        <w:rPr>
          <w:sz w:val="26"/>
        </w:rPr>
      </w:r>
    </w:p>
    <w:p>
      <w:pPr>
        <w:pStyle w:val="753"/>
        <w:ind w:left="0" w:right="0" w:firstLine="709"/>
        <w:spacing w:line="264" w:lineRule="auto"/>
      </w:pPr>
      <w:r>
        <w:rPr>
          <w:sz w:val="26"/>
        </w:rPr>
        <w:t xml:space="preserve">3.3. Имущество считается переданным в собственность Покупателя с момента оформления акта приема-передачи документов. Принятое Покупателем Имущество возврату не подлежит. Продавец не несет ответственности за качество проданного Имущества. </w:t>
      </w:r>
      <w:r>
        <w:rPr>
          <w:sz w:val="26"/>
        </w:rPr>
      </w:r>
    </w:p>
    <w:p>
      <w:pPr>
        <w:pStyle w:val="753"/>
        <w:ind w:left="0" w:right="0" w:firstLine="709"/>
        <w:spacing w:line="264" w:lineRule="auto"/>
      </w:pPr>
      <w:r>
        <w:rPr>
          <w:sz w:val="26"/>
        </w:rPr>
        <w:t xml:space="preserve">3.4. В течение десяти рабочих дней после получения Отчета Покупатель подает в порядке, установленном Федеральным законом от 13.07.2015 № 218-ФЗ «О государственной регистрации недвижимости», заявление о государственной регистрации права собственности на Имущ</w:t>
      </w:r>
      <w:r>
        <w:rPr>
          <w:sz w:val="26"/>
        </w:rPr>
        <w:t xml:space="preserve">ество (далее – Заявление), о чем уведомляет Продавца в течение трех рабочих дней с момента подачи Заявления.</w:t>
      </w:r>
      <w:r>
        <w:rPr>
          <w:sz w:val="26"/>
        </w:rPr>
      </w:r>
    </w:p>
    <w:p>
      <w:pPr>
        <w:pStyle w:val="753"/>
        <w:ind w:left="0" w:right="0" w:firstLine="709"/>
        <w:spacing w:line="264" w:lineRule="auto"/>
        <w:rPr>
          <w:sz w:val="26"/>
        </w:rPr>
      </w:pPr>
      <w:r>
        <w:rPr>
          <w:sz w:val="26"/>
        </w:rPr>
        <w:t xml:space="preserve">Расходы по регистрации права собственности на Имущество несет в полном объеме Покупатель. </w:t>
      </w:r>
      <w:r>
        <w:rPr>
          <w:sz w:val="26"/>
        </w:rPr>
      </w:r>
      <w:r>
        <w:rPr>
          <w:sz w:val="26"/>
        </w:rPr>
      </w:r>
    </w:p>
    <w:p>
      <w:pPr>
        <w:pStyle w:val="753"/>
        <w:ind w:left="0" w:right="0" w:firstLine="709"/>
        <w:spacing w:line="264" w:lineRule="auto"/>
        <w:rPr>
          <w:sz w:val="26"/>
        </w:rPr>
      </w:pPr>
      <w:r>
        <w:rPr>
          <w:sz w:val="26"/>
        </w:rPr>
      </w:r>
      <w:r>
        <w:rPr>
          <w:sz w:val="26"/>
        </w:rPr>
      </w:r>
    </w:p>
    <w:p>
      <w:pPr>
        <w:pStyle w:val="741"/>
        <w:ind w:left="0" w:right="0" w:firstLine="426"/>
        <w:jc w:val="center"/>
        <w:spacing w:line="264" w:lineRule="auto"/>
      </w:pPr>
      <w:r>
        <w:rPr>
          <w:b/>
          <w:sz w:val="26"/>
        </w:rPr>
        <w:t xml:space="preserve">4. Ответственность сторон </w:t>
      </w:r>
      <w:r>
        <w:rPr>
          <w:b/>
          <w:sz w:val="26"/>
        </w:rPr>
      </w:r>
    </w:p>
    <w:p>
      <w:pPr>
        <w:pStyle w:val="741"/>
        <w:ind w:left="0" w:right="0" w:firstLine="426"/>
        <w:jc w:val="center"/>
        <w:spacing w:line="264" w:lineRule="auto"/>
      </w:pPr>
      <w:r>
        <w:rPr>
          <w:b/>
          <w:sz w:val="26"/>
        </w:rPr>
      </w:r>
      <w:r>
        <w:rPr>
          <w:b/>
          <w:sz w:val="26"/>
        </w:rPr>
      </w:r>
    </w:p>
    <w:p>
      <w:pPr>
        <w:pStyle w:val="741"/>
        <w:ind w:left="0" w:right="0" w:firstLine="426"/>
        <w:jc w:val="center"/>
        <w:spacing w:line="264" w:lineRule="auto"/>
        <w:rPr>
          <w:b w:val="0"/>
          <w:bCs w:val="0"/>
        </w:rPr>
      </w:pPr>
      <w:r>
        <w:rPr>
          <w:b w:val="0"/>
          <w:bCs w:val="0"/>
          <w:sz w:val="26"/>
        </w:rPr>
        <w:t xml:space="preserve">4.1. За невыполнение или ненадлежащее выполнение обязательств по Договору Стороны несут ответственность в соответствии с законодательством Российской Федерации.</w:t>
      </w:r>
      <w:r>
        <w:rPr>
          <w:b w:val="0"/>
          <w:bCs w:val="0"/>
          <w:sz w:val="26"/>
        </w:rPr>
      </w:r>
    </w:p>
    <w:p>
      <w:pPr>
        <w:pStyle w:val="741"/>
        <w:ind w:left="0" w:right="0" w:firstLine="426"/>
        <w:jc w:val="center"/>
        <w:spacing w:line="264" w:lineRule="auto"/>
      </w:pPr>
      <w:r>
        <w:rPr>
          <w:b/>
          <w:sz w:val="26"/>
        </w:rPr>
      </w:r>
      <w:r>
        <w:rPr>
          <w:b/>
          <w:sz w:val="26"/>
        </w:rPr>
      </w:r>
    </w:p>
    <w:p>
      <w:pPr>
        <w:pStyle w:val="741"/>
        <w:ind w:left="0" w:right="0" w:firstLine="426"/>
        <w:jc w:val="center"/>
        <w:spacing w:line="264" w:lineRule="auto"/>
      </w:pPr>
      <w:r>
        <w:rPr>
          <w:b/>
          <w:sz w:val="26"/>
        </w:rPr>
        <w:t xml:space="preserve">5. Прочие условия</w:t>
      </w:r>
      <w:r>
        <w:rPr>
          <w:b/>
          <w:sz w:val="26"/>
        </w:rPr>
      </w:r>
    </w:p>
    <w:p>
      <w:pPr>
        <w:pStyle w:val="741"/>
        <w:ind w:left="0" w:right="0" w:firstLine="426"/>
        <w:jc w:val="center"/>
        <w:spacing w:line="264" w:lineRule="auto"/>
      </w:pPr>
      <w:r>
        <w:rPr>
          <w:b/>
          <w:sz w:val="26"/>
        </w:rPr>
      </w:r>
      <w:r>
        <w:rPr>
          <w:b/>
          <w:sz w:val="26"/>
        </w:rPr>
      </w:r>
    </w:p>
    <w:p>
      <w:pPr>
        <w:pStyle w:val="741"/>
        <w:ind w:left="0" w:right="0" w:firstLine="426"/>
        <w:jc w:val="both"/>
        <w:spacing w:line="264" w:lineRule="auto"/>
        <w:rPr>
          <w:b w:val="0"/>
          <w:bCs w:val="0"/>
        </w:rPr>
      </w:pPr>
      <w:r>
        <w:rPr>
          <w:b w:val="0"/>
          <w:bCs w:val="0"/>
          <w:sz w:val="26"/>
        </w:rPr>
        <w:t xml:space="preserve">5.1. Договор вступает в силу с момента его подписания и прекращает свое действие при:</w:t>
      </w:r>
      <w:r>
        <w:rPr>
          <w:b w:val="0"/>
          <w:bCs w:val="0"/>
          <w:sz w:val="26"/>
        </w:rPr>
      </w:r>
    </w:p>
    <w:p>
      <w:pPr>
        <w:pStyle w:val="741"/>
        <w:ind w:left="0" w:right="0" w:firstLine="426"/>
        <w:jc w:val="both"/>
        <w:spacing w:line="264" w:lineRule="auto"/>
        <w:rPr>
          <w:b w:val="0"/>
          <w:bCs w:val="0"/>
        </w:rPr>
      </w:pPr>
      <w:r>
        <w:rPr>
          <w:b w:val="0"/>
          <w:bCs w:val="0"/>
          <w:sz w:val="26"/>
        </w:rPr>
        <w:t xml:space="preserve">-     надлежащем исполнении Сторонами своих обязательств;</w:t>
      </w:r>
      <w:r>
        <w:rPr>
          <w:b w:val="0"/>
          <w:bCs w:val="0"/>
          <w:sz w:val="26"/>
        </w:rPr>
      </w:r>
    </w:p>
    <w:p>
      <w:pPr>
        <w:pStyle w:val="741"/>
        <w:ind w:left="0" w:right="0" w:firstLine="426"/>
        <w:jc w:val="both"/>
        <w:spacing w:line="264" w:lineRule="auto"/>
        <w:rPr>
          <w:b w:val="0"/>
          <w:bCs w:val="0"/>
        </w:rPr>
      </w:pPr>
      <w:r>
        <w:rPr>
          <w:b w:val="0"/>
          <w:bCs w:val="0"/>
          <w:sz w:val="26"/>
        </w:rPr>
        <w:t xml:space="preserve">- расторжении при возникновении иных оснований, предусмотренных законодательством Российской Федерации.</w:t>
      </w:r>
      <w:r>
        <w:rPr>
          <w:b w:val="0"/>
          <w:bCs w:val="0"/>
          <w:sz w:val="26"/>
        </w:rPr>
      </w:r>
    </w:p>
    <w:p>
      <w:pPr>
        <w:pStyle w:val="741"/>
        <w:ind w:left="0" w:right="0" w:firstLine="426"/>
        <w:jc w:val="both"/>
        <w:spacing w:line="264" w:lineRule="auto"/>
        <w:rPr>
          <w:b w:val="0"/>
          <w:bCs w:val="0"/>
        </w:rPr>
      </w:pPr>
      <w:r>
        <w:rPr>
          <w:b w:val="0"/>
          <w:bCs w:val="0"/>
          <w:sz w:val="26"/>
        </w:rPr>
        <w:t xml:space="preserve">5.2. Любые изменения и дополнения к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  <w:r>
        <w:rPr>
          <w:b w:val="0"/>
          <w:bCs w:val="0"/>
          <w:sz w:val="26"/>
        </w:rPr>
      </w:r>
    </w:p>
    <w:p>
      <w:pPr>
        <w:pStyle w:val="741"/>
        <w:ind w:left="0" w:right="0" w:firstLine="426"/>
        <w:jc w:val="both"/>
        <w:spacing w:line="264" w:lineRule="auto"/>
        <w:rPr>
          <w:b w:val="0"/>
          <w:bCs w:val="0"/>
        </w:rPr>
      </w:pPr>
      <w:r>
        <w:rPr>
          <w:b w:val="0"/>
          <w:bCs w:val="0"/>
          <w:sz w:val="26"/>
        </w:rPr>
        <w:t xml:space="preserve">5.3. Все уведомления и сообщения должны направляться в письменной форме.</w:t>
      </w:r>
      <w:r>
        <w:rPr>
          <w:b w:val="0"/>
          <w:bCs w:val="0"/>
          <w:sz w:val="26"/>
        </w:rPr>
      </w:r>
    </w:p>
    <w:p>
      <w:pPr>
        <w:pStyle w:val="741"/>
        <w:ind w:left="0" w:right="0" w:firstLine="426"/>
        <w:jc w:val="both"/>
        <w:spacing w:line="264" w:lineRule="auto"/>
        <w:rPr>
          <w:b w:val="0"/>
          <w:bCs w:val="0"/>
        </w:rPr>
      </w:pPr>
      <w:r>
        <w:rPr>
          <w:b w:val="0"/>
          <w:bCs w:val="0"/>
          <w:sz w:val="26"/>
        </w:rPr>
        <w:t xml:space="preserve">5.4. Во всем остальном, что не предусмотрено Договором, Стороны руководствуются законодательством Российской Федерации.</w:t>
      </w:r>
      <w:r>
        <w:rPr>
          <w:b w:val="0"/>
          <w:bCs w:val="0"/>
          <w:sz w:val="26"/>
        </w:rPr>
      </w:r>
    </w:p>
    <w:p>
      <w:pPr>
        <w:pStyle w:val="741"/>
        <w:ind w:left="0" w:right="0" w:firstLine="426"/>
        <w:jc w:val="both"/>
        <w:spacing w:line="264" w:lineRule="auto"/>
        <w:rPr>
          <w:b w:val="0"/>
          <w:bCs w:val="0"/>
        </w:rPr>
      </w:pPr>
      <w:r>
        <w:rPr>
          <w:b w:val="0"/>
          <w:bCs w:val="0"/>
          <w:sz w:val="26"/>
        </w:rPr>
        <w:t xml:space="preserve">5.5. Все споры и разногласия, возникающие между Сторонами по вопросам, не нашедшим своего разрешения в тексте Договора, будут разрешаться путем переговоров на основе законодательства Российской Федерации.</w:t>
      </w:r>
      <w:r>
        <w:rPr>
          <w:b w:val="0"/>
          <w:bCs w:val="0"/>
          <w:sz w:val="26"/>
        </w:rPr>
      </w:r>
    </w:p>
    <w:p>
      <w:pPr>
        <w:pStyle w:val="741"/>
        <w:ind w:left="0" w:right="0" w:firstLine="426"/>
        <w:jc w:val="both"/>
        <w:spacing w:line="264" w:lineRule="auto"/>
        <w:rPr>
          <w:b w:val="0"/>
          <w:bCs w:val="0"/>
        </w:rPr>
      </w:pPr>
      <w:r>
        <w:rPr>
          <w:b w:val="0"/>
          <w:bCs w:val="0"/>
          <w:sz w:val="26"/>
        </w:rPr>
        <w:t xml:space="preserve">При неурегулировании в процессе переговоров спорных вопросов, споры разрешаются в суде в порядке, установленном законодательством Российской Федерации.</w:t>
      </w:r>
      <w:r>
        <w:rPr>
          <w:b w:val="0"/>
          <w:bCs w:val="0"/>
          <w:sz w:val="26"/>
        </w:rPr>
      </w:r>
    </w:p>
    <w:p>
      <w:pPr>
        <w:pStyle w:val="741"/>
        <w:ind w:left="0" w:right="0" w:firstLine="426"/>
        <w:jc w:val="both"/>
        <w:spacing w:line="264" w:lineRule="auto"/>
        <w:rPr>
          <w:b w:val="0"/>
          <w:bCs w:val="0"/>
        </w:rPr>
      </w:pPr>
      <w:r>
        <w:rPr>
          <w:b w:val="0"/>
          <w:bCs w:val="0"/>
          <w:sz w:val="26"/>
        </w:rPr>
      </w:r>
      <w:r>
        <w:rPr>
          <w:b w:val="0"/>
          <w:bCs w:val="0"/>
          <w:sz w:val="26"/>
        </w:rPr>
      </w:r>
    </w:p>
    <w:p>
      <w:pPr>
        <w:pStyle w:val="741"/>
        <w:ind w:left="0" w:right="0" w:firstLine="426"/>
        <w:jc w:val="center"/>
        <w:spacing w:line="264" w:lineRule="auto"/>
        <w:rPr>
          <w:b/>
          <w:sz w:val="26"/>
        </w:rPr>
      </w:pPr>
      <w:r>
        <w:rPr>
          <w:b/>
          <w:sz w:val="26"/>
        </w:rPr>
        <w:t xml:space="preserve">6. Реквизиты Сторон</w:t>
      </w:r>
      <w:r>
        <w:rPr>
          <w:b/>
          <w:sz w:val="26"/>
        </w:rPr>
      </w:r>
      <w:r>
        <w:rPr>
          <w:b/>
          <w:sz w:val="26"/>
        </w:rPr>
      </w:r>
    </w:p>
    <w:tbl>
      <w:tblPr>
        <w:tblStyle w:val="767"/>
        <w:tblW w:w="10057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302"/>
        <w:gridCol w:w="4754"/>
      </w:tblGrid>
      <w:tr>
        <w:tblPrEx/>
        <w:trPr/>
        <w:tc>
          <w:tcPr>
            <w:tcW w:w="5302" w:type="dxa"/>
            <w:textDirection w:val="lrTb"/>
            <w:noWrap w:val="false"/>
          </w:tcPr>
          <w:p>
            <w:pPr>
              <w:pStyle w:val="706"/>
              <w:ind w:left="0" w:right="0" w:firstLine="0"/>
              <w:jc w:val="center"/>
              <w:spacing w:before="0" w:after="0" w:line="240" w:lineRule="auto"/>
              <w:widowControl/>
              <w:rPr>
                <w:b/>
                <w:sz w:val="26"/>
              </w:rPr>
            </w:pPr>
            <w:r>
              <w:rPr>
                <w:b/>
                <w:color w:val="000000"/>
                <w:spacing w:val="0"/>
                <w:sz w:val="26"/>
                <w:szCs w:val="20"/>
              </w:rPr>
              <w:t xml:space="preserve">Продавец</w:t>
            </w:r>
            <w:r>
              <w:rPr>
                <w:b/>
                <w:sz w:val="26"/>
              </w:rPr>
            </w:r>
          </w:p>
        </w:tc>
        <w:tc>
          <w:tcPr>
            <w:tcW w:w="4754" w:type="dxa"/>
            <w:textDirection w:val="lrTb"/>
            <w:noWrap w:val="false"/>
          </w:tcPr>
          <w:p>
            <w:pPr>
              <w:pStyle w:val="706"/>
              <w:ind w:left="0" w:right="0" w:firstLine="0"/>
              <w:jc w:val="center"/>
              <w:spacing w:before="0" w:after="0" w:line="240" w:lineRule="auto"/>
              <w:widowControl/>
              <w:rPr>
                <w:b/>
                <w:sz w:val="26"/>
              </w:rPr>
            </w:pPr>
            <w:r>
              <w:rPr>
                <w:b/>
                <w:color w:val="000000"/>
                <w:spacing w:val="0"/>
                <w:sz w:val="26"/>
                <w:szCs w:val="20"/>
              </w:rPr>
              <w:t xml:space="preserve">Покупатель</w:t>
            </w:r>
            <w:r>
              <w:rPr>
                <w:b/>
                <w:sz w:val="26"/>
              </w:rPr>
            </w:r>
          </w:p>
        </w:tc>
      </w:tr>
    </w:tbl>
    <w:p>
      <w:r/>
      <w:r/>
    </w:p>
    <w:p>
      <w:pPr>
        <w:jc w:val="center"/>
        <w:spacing w:after="0" w:line="240" w:lineRule="auto"/>
        <w:rPr>
          <w:rFonts w:ascii="Times New Roman" w:hAnsi="Times New Roman"/>
          <w:b/>
          <w:sz w:val="24"/>
        </w:rPr>
        <w:outlineLvl w:val="1"/>
      </w:pPr>
      <w:r>
        <w:rPr>
          <w:rFonts w:ascii="Times New Roman" w:hAnsi="Times New Roman"/>
          <w:b/>
          <w:sz w:val="26"/>
          <w:szCs w:val="26"/>
        </w:rPr>
        <w:t xml:space="preserve">Подписи Сторон</w:t>
      </w:r>
      <w:r>
        <w:rPr>
          <w:rFonts w:ascii="Times New Roman" w:hAnsi="Times New Roman"/>
          <w:b/>
          <w:sz w:val="26"/>
          <w:szCs w:val="26"/>
        </w:rPr>
      </w:r>
      <w:r>
        <w:rPr>
          <w:rFonts w:ascii="Times New Roman" w:hAnsi="Times New Roman"/>
          <w:b/>
          <w:sz w:val="26"/>
          <w:szCs w:val="26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4"/>
        </w:rPr>
        <w:outlineLvl w:val="1"/>
      </w:pPr>
      <w:r>
        <w:rPr>
          <w:rFonts w:ascii="Times New Roman" w:hAnsi="Times New Roman"/>
          <w:b/>
          <w:sz w:val="26"/>
          <w:szCs w:val="26"/>
        </w:rPr>
      </w:r>
      <w:r>
        <w:rPr>
          <w:rFonts w:ascii="Times New Roman" w:hAnsi="Times New Roman"/>
          <w:b/>
          <w:sz w:val="26"/>
          <w:szCs w:val="26"/>
        </w:rPr>
      </w:r>
      <w:r>
        <w:rPr>
          <w:rFonts w:ascii="Times New Roman" w:hAnsi="Times New Roman"/>
          <w:b/>
          <w:sz w:val="26"/>
          <w:szCs w:val="26"/>
        </w:rPr>
      </w:r>
    </w:p>
    <w:p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Продавец                                                                       Покупатель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right="34"/>
        <w:jc w:val="both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6"/>
          <w:szCs w:val="26"/>
        </w:rPr>
        <w:t xml:space="preserve">                _______________</w:t>
      </w:r>
      <w:r>
        <w:rPr>
          <w:rFonts w:ascii="Times New Roman" w:hAnsi="Times New Roman"/>
          <w:sz w:val="26"/>
          <w:szCs w:val="26"/>
        </w:rPr>
        <w:t xml:space="preserve"> (</w:t>
      </w:r>
      <w:r>
        <w:rPr>
          <w:rFonts w:ascii="Times New Roman" w:hAnsi="Times New Roman"/>
          <w:sz w:val="26"/>
          <w:szCs w:val="26"/>
        </w:rPr>
        <w:t xml:space="preserve">______________</w:t>
      </w:r>
      <w:r>
        <w:rPr>
          <w:rFonts w:ascii="Times New Roman" w:hAnsi="Times New Roman"/>
          <w:sz w:val="26"/>
          <w:szCs w:val="26"/>
        </w:rPr>
        <w:t xml:space="preserve">)                           ____________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(</w:t>
      </w:r>
      <w:r>
        <w:rPr>
          <w:rFonts w:ascii="Times New Roman" w:hAnsi="Times New Roman"/>
          <w:sz w:val="26"/>
          <w:szCs w:val="26"/>
        </w:rPr>
        <w:t xml:space="preserve">_____________</w:t>
      </w:r>
      <w:r>
        <w:rPr>
          <w:rFonts w:ascii="Times New Roman" w:hAnsi="Times New Roman"/>
          <w:sz w:val="26"/>
          <w:szCs w:val="26"/>
        </w:rPr>
        <w:t xml:space="preserve">) 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706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sectPr>
      <w:headerReference w:type="default" r:id="rId8"/>
      <w:headerReference w:type="even" r:id="rId9"/>
      <w:footerReference w:type="default" r:id="rId10"/>
      <w:footerReference w:type="even" r:id="rId11"/>
      <w:footnotePr/>
      <w:endnotePr/>
      <w:type w:val="nextPage"/>
      <w:pgSz w:w="11906" w:h="16838" w:orient="portrait"/>
      <w:pgMar w:top="851" w:right="567" w:bottom="777" w:left="1134" w:header="720" w:footer="72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XO Thames">
    <w:panose1 w:val="02020603050405020304"/>
  </w:font>
  <w:font w:name="Times New Roman">
    <w:panose1 w:val="02020603050405020304"/>
  </w:font>
  <w:font w:name="Liberation Sans">
    <w:panose1 w:val="020B0604020202020204"/>
  </w:font>
  <w:font w:name="Tahoma">
    <w:panose1 w:val="020B0604030504040204"/>
  </w:font>
  <w:font w:name="Droid Sans Devanagari">
    <w:panose1 w:val="020B0606030804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4"/>
      <w:jc w:val="right"/>
    </w:pPr>
    <w:r/>
    <w:r/>
  </w:p>
  <w:p>
    <w:pPr>
      <w:pStyle w:val="754"/>
      <w:ind w:left="0" w:right="360" w:firstLine="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4"/>
      <w:jc w:val="right"/>
    </w:pPr>
    <w:r/>
    <w:r/>
  </w:p>
  <w:p>
    <w:pPr>
      <w:pStyle w:val="754"/>
      <w:jc w:val="right"/>
    </w:pPr>
    <w:r>
      <w:fldChar w:fldCharType="begin"/>
    </w:r>
    <w:r>
      <w:instrText xml:space="preserve"> PAGE </w:instrText>
    </w:r>
    <w:r>
      <w:fldChar w:fldCharType="separate"/>
    </w:r>
    <w:r>
      <w:t xml:space="preserve">0</w:t>
    </w:r>
    <w:r>
      <w:fldChar w:fldCharType="end"/>
    </w:r>
    <w:r/>
  </w:p>
  <w:p>
    <w:pPr>
      <w:pStyle w:val="754"/>
      <w:ind w:left="0" w:right="360" w:firstLine="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6"/>
      <w:jc w:val="center"/>
    </w:pPr>
    <w:r>
      <w:fldChar w:fldCharType="begin"/>
    </w:r>
    <w:r>
      <w:instrText xml:space="preserve"> PAGE </w:instrText>
    </w:r>
    <w:r>
      <w:fldChar w:fldCharType="separate"/>
    </w:r>
    <w:r>
      <w:t xml:space="preserve">3</w:t>
    </w:r>
    <w:r>
      <w:fldChar w:fldCharType="end"/>
    </w:r>
    <w:r/>
  </w:p>
  <w:p>
    <w:pPr>
      <w:pStyle w:val="746"/>
    </w:pPr>
    <w:r/>
    <w:r/>
  </w:p>
  <w:p>
    <w:pPr>
      <w:pStyle w:val="746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6"/>
      <w:jc w:val="center"/>
    </w:pPr>
    <w:r>
      <w:fldChar w:fldCharType="begin"/>
    </w:r>
    <w:r>
      <w:instrText xml:space="preserve"> PAGE </w:instrText>
    </w:r>
    <w:r>
      <w:fldChar w:fldCharType="separate"/>
    </w:r>
    <w:r>
      <w:t xml:space="preserve">0</w:t>
    </w:r>
    <w:r>
      <w:fldChar w:fldCharType="end"/>
    </w:r>
    <w:r/>
  </w:p>
  <w:p>
    <w:pPr>
      <w:pStyle w:val="746"/>
    </w:pPr>
    <w:r/>
    <w:r/>
  </w:p>
  <w:p>
    <w:pPr>
      <w:pStyle w:val="746"/>
      <w:jc w:val="center"/>
    </w:pPr>
    <w:r>
      <w:fldChar w:fldCharType="begin"/>
    </w:r>
    <w:r>
      <w:instrText xml:space="preserve"> PAGE </w:instrText>
    </w:r>
    <w:r>
      <w:fldChar w:fldCharType="separate"/>
    </w:r>
    <w:r>
      <w:t xml:space="preserve">0</w:t>
    </w:r>
    <w:r>
      <w:fldChar w:fldCharType="end"/>
    </w:r>
    <w:r/>
  </w:p>
  <w:p>
    <w:pPr>
      <w:pStyle w:val="746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ahoma" w:cs="Droid Sans Devanagari"/>
        <w:color w:val="000000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756"/>
    <w:link w:val="726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756"/>
    <w:link w:val="739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756"/>
    <w:link w:val="719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756"/>
    <w:link w:val="738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756"/>
    <w:link w:val="725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706"/>
    <w:next w:val="706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756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706"/>
    <w:next w:val="706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756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706"/>
    <w:next w:val="706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756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706"/>
    <w:next w:val="706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756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706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character" w:styleId="36">
    <w:name w:val="Title Char"/>
    <w:basedOn w:val="756"/>
    <w:link w:val="766"/>
    <w:uiPriority w:val="10"/>
    <w:rPr>
      <w:sz w:val="48"/>
      <w:szCs w:val="48"/>
    </w:rPr>
  </w:style>
  <w:style w:type="character" w:styleId="38">
    <w:name w:val="Subtitle Char"/>
    <w:basedOn w:val="756"/>
    <w:link w:val="764"/>
    <w:uiPriority w:val="11"/>
    <w:rPr>
      <w:sz w:val="24"/>
      <w:szCs w:val="24"/>
    </w:rPr>
  </w:style>
  <w:style w:type="paragraph" w:styleId="39">
    <w:name w:val="Quote"/>
    <w:basedOn w:val="706"/>
    <w:next w:val="706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706"/>
    <w:next w:val="706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756"/>
    <w:link w:val="746"/>
    <w:uiPriority w:val="99"/>
  </w:style>
  <w:style w:type="character" w:styleId="46">
    <w:name w:val="Footer Char"/>
    <w:basedOn w:val="756"/>
    <w:link w:val="754"/>
    <w:uiPriority w:val="99"/>
  </w:style>
  <w:style w:type="character" w:styleId="48">
    <w:name w:val="Caption Char"/>
    <w:basedOn w:val="756"/>
    <w:link w:val="743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76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76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76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76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7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7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7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7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7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7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7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706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756"/>
    <w:uiPriority w:val="99"/>
    <w:unhideWhenUsed/>
    <w:rPr>
      <w:vertAlign w:val="superscript"/>
    </w:rPr>
  </w:style>
  <w:style w:type="paragraph" w:styleId="179">
    <w:name w:val="endnote text"/>
    <w:basedOn w:val="706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756"/>
    <w:uiPriority w:val="99"/>
    <w:semiHidden/>
    <w:unhideWhenUsed/>
    <w:rPr>
      <w:vertAlign w:val="superscript"/>
    </w:rPr>
  </w:style>
  <w:style w:type="paragraph" w:styleId="191">
    <w:name w:val="TOC Heading"/>
    <w:uiPriority w:val="39"/>
    <w:unhideWhenUsed/>
  </w:style>
  <w:style w:type="paragraph" w:styleId="192">
    <w:name w:val="table of figures"/>
    <w:basedOn w:val="706"/>
    <w:next w:val="706"/>
    <w:uiPriority w:val="99"/>
    <w:unhideWhenUsed/>
    <w:pPr>
      <w:spacing w:after="0" w:afterAutospacing="0"/>
    </w:pPr>
  </w:style>
  <w:style w:type="paragraph" w:styleId="706" w:default="1">
    <w:name w:val="Normal"/>
    <w:uiPriority w:val="0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Tahoma" w:cs="Droid Sans Devanagari"/>
      <w:color w:val="000000"/>
      <w:spacing w:val="0"/>
      <w:sz w:val="20"/>
      <w:szCs w:val="20"/>
      <w:lang w:val="ru-RU" w:eastAsia="zh-CN" w:bidi="hi-IN"/>
    </w:rPr>
  </w:style>
  <w:style w:type="paragraph" w:styleId="707">
    <w:name w:val="Heading 1"/>
    <w:next w:val="706"/>
    <w:uiPriority w:val="9"/>
    <w:qFormat/>
    <w:pPr>
      <w:ind w:left="0" w:right="0" w:firstLine="0"/>
      <w:jc w:val="both"/>
      <w:spacing w:before="120" w:after="120" w:line="240" w:lineRule="auto"/>
      <w:widowControl/>
      <w:outlineLvl w:val="0"/>
    </w:pPr>
    <w:rPr>
      <w:rFonts w:ascii="XO Thames" w:hAnsi="XO Thames" w:eastAsia="Tahoma" w:cs="Droid Sans Devanagari"/>
      <w:b/>
      <w:color w:val="000000"/>
      <w:spacing w:val="0"/>
      <w:sz w:val="32"/>
      <w:szCs w:val="20"/>
      <w:lang w:val="ru-RU" w:eastAsia="zh-CN" w:bidi="hi-IN"/>
    </w:rPr>
  </w:style>
  <w:style w:type="paragraph" w:styleId="708">
    <w:name w:val="Heading 2"/>
    <w:basedOn w:val="706"/>
    <w:next w:val="706"/>
    <w:uiPriority w:val="9"/>
    <w:qFormat/>
    <w:pPr>
      <w:jc w:val="center"/>
      <w:keepNext/>
      <w:outlineLvl w:val="1"/>
    </w:pPr>
    <w:rPr>
      <w:b/>
      <w:sz w:val="24"/>
    </w:rPr>
  </w:style>
  <w:style w:type="paragraph" w:styleId="709">
    <w:name w:val="Heading 3"/>
    <w:basedOn w:val="706"/>
    <w:next w:val="706"/>
    <w:uiPriority w:val="9"/>
    <w:qFormat/>
    <w:pPr>
      <w:jc w:val="center"/>
      <w:keepNext/>
      <w:outlineLvl w:val="2"/>
    </w:pPr>
    <w:rPr>
      <w:b/>
    </w:rPr>
  </w:style>
  <w:style w:type="paragraph" w:styleId="710">
    <w:name w:val="Heading 4"/>
    <w:next w:val="706"/>
    <w:uiPriority w:val="9"/>
    <w:qFormat/>
    <w:pPr>
      <w:ind w:left="0" w:right="0" w:firstLine="0"/>
      <w:jc w:val="both"/>
      <w:spacing w:before="120" w:after="120" w:line="240" w:lineRule="auto"/>
      <w:widowControl/>
      <w:outlineLvl w:val="3"/>
    </w:pPr>
    <w:rPr>
      <w:rFonts w:ascii="XO Thames" w:hAnsi="XO Thames" w:eastAsia="Tahoma" w:cs="Droid Sans Devanagari"/>
      <w:b/>
      <w:color w:val="000000"/>
      <w:spacing w:val="0"/>
      <w:sz w:val="24"/>
      <w:szCs w:val="20"/>
      <w:lang w:val="ru-RU" w:eastAsia="zh-CN" w:bidi="hi-IN"/>
    </w:rPr>
  </w:style>
  <w:style w:type="paragraph" w:styleId="711">
    <w:name w:val="Heading 5"/>
    <w:next w:val="706"/>
    <w:uiPriority w:val="9"/>
    <w:qFormat/>
    <w:pPr>
      <w:ind w:left="0" w:right="0" w:firstLine="0"/>
      <w:jc w:val="both"/>
      <w:spacing w:before="120" w:after="120" w:line="240" w:lineRule="auto"/>
      <w:widowControl/>
      <w:outlineLvl w:val="4"/>
    </w:pPr>
    <w:rPr>
      <w:rFonts w:ascii="XO Thames" w:hAnsi="XO Thames" w:eastAsia="Tahoma" w:cs="Droid Sans Devanagari"/>
      <w:b/>
      <w:color w:val="000000"/>
      <w:spacing w:val="0"/>
      <w:sz w:val="22"/>
      <w:szCs w:val="20"/>
      <w:lang w:val="ru-RU" w:eastAsia="zh-CN" w:bidi="hi-IN"/>
    </w:rPr>
  </w:style>
  <w:style w:type="character" w:styleId="712">
    <w:name w:val="Header"/>
    <w:qFormat/>
    <w:rPr>
      <w:sz w:val="24"/>
    </w:rPr>
  </w:style>
  <w:style w:type="character" w:styleId="713">
    <w:name w:val="Contents 2"/>
    <w:qFormat/>
    <w:rPr>
      <w:rFonts w:ascii="XO Thames" w:hAnsi="XO Thames"/>
      <w:sz w:val="28"/>
    </w:rPr>
  </w:style>
  <w:style w:type="character" w:styleId="714">
    <w:name w:val="Contents 4"/>
    <w:qFormat/>
    <w:rPr>
      <w:rFonts w:ascii="XO Thames" w:hAnsi="XO Thames"/>
      <w:sz w:val="28"/>
    </w:rPr>
  </w:style>
  <w:style w:type="character" w:styleId="715">
    <w:name w:val="Contents 6"/>
    <w:qFormat/>
    <w:rPr>
      <w:rFonts w:ascii="XO Thames" w:hAnsi="XO Thames"/>
      <w:sz w:val="28"/>
    </w:rPr>
  </w:style>
  <w:style w:type="character" w:styleId="716">
    <w:name w:val="Contents 7"/>
    <w:qFormat/>
    <w:rPr>
      <w:rFonts w:ascii="XO Thames" w:hAnsi="XO Thames"/>
      <w:sz w:val="28"/>
    </w:rPr>
  </w:style>
  <w:style w:type="character" w:styleId="717">
    <w:name w:val="Text body"/>
    <w:qFormat/>
    <w:rPr>
      <w:sz w:val="24"/>
    </w:rPr>
  </w:style>
  <w:style w:type="character" w:styleId="718">
    <w:name w:val="Endnote"/>
    <w:link w:val="751"/>
    <w:qFormat/>
    <w:rPr>
      <w:rFonts w:ascii="XO Thames" w:hAnsi="XO Thames"/>
      <w:sz w:val="22"/>
    </w:rPr>
  </w:style>
  <w:style w:type="character" w:styleId="719">
    <w:name w:val="Heading 3"/>
    <w:qFormat/>
    <w:rPr>
      <w:b/>
    </w:rPr>
  </w:style>
  <w:style w:type="character" w:styleId="720">
    <w:name w:val="page number"/>
    <w:link w:val="752"/>
    <w:qFormat/>
  </w:style>
  <w:style w:type="character" w:styleId="721">
    <w:name w:val="Text body indent"/>
    <w:qFormat/>
    <w:rPr>
      <w:sz w:val="24"/>
    </w:rPr>
  </w:style>
  <w:style w:type="character" w:styleId="722">
    <w:name w:val="Footer"/>
    <w:qFormat/>
  </w:style>
  <w:style w:type="character" w:styleId="723">
    <w:name w:val="Contents 3"/>
    <w:qFormat/>
    <w:rPr>
      <w:rFonts w:ascii="XO Thames" w:hAnsi="XO Thames"/>
      <w:sz w:val="28"/>
    </w:rPr>
  </w:style>
  <w:style w:type="character" w:styleId="724">
    <w:name w:val="Default Paragraph Font"/>
    <w:link w:val="756"/>
    <w:qFormat/>
  </w:style>
  <w:style w:type="character" w:styleId="725">
    <w:name w:val="Heading 5"/>
    <w:qFormat/>
    <w:rPr>
      <w:rFonts w:ascii="XO Thames" w:hAnsi="XO Thames"/>
      <w:b/>
      <w:sz w:val="22"/>
    </w:rPr>
  </w:style>
  <w:style w:type="character" w:styleId="726">
    <w:name w:val="Heading 1"/>
    <w:qFormat/>
    <w:rPr>
      <w:rFonts w:ascii="XO Thames" w:hAnsi="XO Thames"/>
      <w:b/>
      <w:sz w:val="32"/>
    </w:rPr>
  </w:style>
  <w:style w:type="character" w:styleId="727">
    <w:name w:val="Интернет-ссылка"/>
    <w:rPr>
      <w:color w:val="0000ff"/>
      <w:u w:val="single"/>
    </w:rPr>
  </w:style>
  <w:style w:type="character" w:styleId="728">
    <w:name w:val="Footnote"/>
    <w:link w:val="758"/>
    <w:qFormat/>
    <w:rPr>
      <w:rFonts w:ascii="XO Thames" w:hAnsi="XO Thames"/>
      <w:sz w:val="22"/>
    </w:rPr>
  </w:style>
  <w:style w:type="character" w:styleId="729">
    <w:name w:val="Contents 1"/>
    <w:qFormat/>
    <w:rPr>
      <w:rFonts w:ascii="XO Thames" w:hAnsi="XO Thames"/>
      <w:b/>
      <w:sz w:val="28"/>
    </w:rPr>
  </w:style>
  <w:style w:type="character" w:styleId="730">
    <w:name w:val="Header and Footer"/>
    <w:qFormat/>
    <w:rPr>
      <w:rFonts w:ascii="XO Thames" w:hAnsi="XO Thames"/>
      <w:sz w:val="28"/>
    </w:rPr>
  </w:style>
  <w:style w:type="character" w:styleId="731">
    <w:name w:val="Contents 9"/>
    <w:qFormat/>
    <w:rPr>
      <w:rFonts w:ascii="XO Thames" w:hAnsi="XO Thames"/>
      <w:sz w:val="28"/>
    </w:rPr>
  </w:style>
  <w:style w:type="character" w:styleId="732">
    <w:name w:val="Contents 8"/>
    <w:qFormat/>
    <w:rPr>
      <w:rFonts w:ascii="XO Thames" w:hAnsi="XO Thames"/>
      <w:sz w:val="28"/>
    </w:rPr>
  </w:style>
  <w:style w:type="character" w:styleId="733">
    <w:name w:val="Contents 5"/>
    <w:qFormat/>
    <w:rPr>
      <w:rFonts w:ascii="XO Thames" w:hAnsi="XO Thames"/>
      <w:sz w:val="28"/>
    </w:rPr>
  </w:style>
  <w:style w:type="character" w:styleId="734">
    <w:name w:val="Body Text 2"/>
    <w:link w:val="763"/>
    <w:qFormat/>
    <w:rPr>
      <w:sz w:val="24"/>
    </w:rPr>
  </w:style>
  <w:style w:type="character" w:styleId="735">
    <w:name w:val="Subtitle"/>
    <w:qFormat/>
    <w:rPr>
      <w:rFonts w:ascii="XO Thames" w:hAnsi="XO Thames"/>
      <w:i/>
      <w:sz w:val="24"/>
    </w:rPr>
  </w:style>
  <w:style w:type="character" w:styleId="736">
    <w:name w:val="Balloon Text"/>
    <w:link w:val="765"/>
    <w:qFormat/>
    <w:rPr>
      <w:rFonts w:ascii="Tahoma" w:hAnsi="Tahoma"/>
      <w:sz w:val="16"/>
    </w:rPr>
  </w:style>
  <w:style w:type="character" w:styleId="737">
    <w:name w:val="Title"/>
    <w:qFormat/>
    <w:rPr>
      <w:b/>
      <w:sz w:val="28"/>
    </w:rPr>
  </w:style>
  <w:style w:type="character" w:styleId="738">
    <w:name w:val="Heading 4"/>
    <w:qFormat/>
    <w:rPr>
      <w:rFonts w:ascii="XO Thames" w:hAnsi="XO Thames"/>
      <w:b/>
      <w:sz w:val="24"/>
    </w:rPr>
  </w:style>
  <w:style w:type="character" w:styleId="739">
    <w:name w:val="Heading 2"/>
    <w:qFormat/>
    <w:rPr>
      <w:b/>
      <w:sz w:val="24"/>
    </w:rPr>
  </w:style>
  <w:style w:type="paragraph" w:styleId="740">
    <w:name w:val="Заголовок"/>
    <w:basedOn w:val="706"/>
    <w:next w:val="741"/>
    <w:qFormat/>
    <w:pPr>
      <w:keepNext/>
      <w:spacing w:before="240" w:after="120"/>
    </w:pPr>
    <w:rPr>
      <w:rFonts w:ascii="Liberation Sans" w:hAnsi="Liberation Sans" w:eastAsia="Tahoma" w:cs="Droid Sans Devanagari"/>
      <w:sz w:val="28"/>
      <w:szCs w:val="28"/>
    </w:rPr>
  </w:style>
  <w:style w:type="paragraph" w:styleId="741">
    <w:name w:val="Body Text"/>
    <w:basedOn w:val="706"/>
    <w:pPr>
      <w:jc w:val="both"/>
    </w:pPr>
    <w:rPr>
      <w:sz w:val="24"/>
    </w:rPr>
  </w:style>
  <w:style w:type="paragraph" w:styleId="742">
    <w:name w:val="List"/>
    <w:basedOn w:val="741"/>
    <w:rPr>
      <w:rFonts w:cs="Droid Sans Devanagari"/>
    </w:rPr>
  </w:style>
  <w:style w:type="paragraph" w:styleId="743">
    <w:name w:val="Caption"/>
    <w:basedOn w:val="706"/>
    <w:qFormat/>
    <w:pPr>
      <w:spacing w:before="120" w:after="120"/>
      <w:suppressLineNumbers/>
    </w:pPr>
    <w:rPr>
      <w:rFonts w:cs="Droid Sans Devanagari"/>
      <w:i/>
      <w:iCs/>
      <w:sz w:val="24"/>
      <w:szCs w:val="24"/>
    </w:rPr>
  </w:style>
  <w:style w:type="paragraph" w:styleId="744">
    <w:name w:val="Указатель"/>
    <w:basedOn w:val="706"/>
    <w:qFormat/>
    <w:pPr>
      <w:suppressLineNumbers/>
    </w:pPr>
    <w:rPr>
      <w:rFonts w:cs="Droid Sans Devanagari"/>
    </w:rPr>
  </w:style>
  <w:style w:type="paragraph" w:styleId="745">
    <w:name w:val="Колонтитул"/>
    <w:qFormat/>
    <w:pPr>
      <w:ind w:left="0" w:right="0" w:firstLine="0"/>
      <w:jc w:val="both"/>
      <w:spacing w:before="0" w:after="0" w:line="240" w:lineRule="auto"/>
      <w:widowControl/>
    </w:pPr>
    <w:rPr>
      <w:rFonts w:ascii="XO Thames" w:hAnsi="XO Thames" w:eastAsia="Tahoma" w:cs="Droid Sans Devanagari"/>
      <w:color w:val="000000"/>
      <w:spacing w:val="0"/>
      <w:sz w:val="28"/>
      <w:szCs w:val="20"/>
      <w:lang w:val="ru-RU" w:eastAsia="zh-CN" w:bidi="hi-IN"/>
    </w:rPr>
  </w:style>
  <w:style w:type="paragraph" w:styleId="746">
    <w:name w:val="Header"/>
    <w:basedOn w:val="706"/>
    <w:pPr>
      <w:tabs>
        <w:tab w:val="clear" w:pos="708" w:leader="none"/>
        <w:tab w:val="center" w:pos="4153" w:leader="none"/>
        <w:tab w:val="right" w:pos="8306" w:leader="none"/>
      </w:tabs>
    </w:pPr>
    <w:rPr>
      <w:sz w:val="24"/>
    </w:rPr>
  </w:style>
  <w:style w:type="paragraph" w:styleId="747">
    <w:name w:val="toc 2"/>
    <w:next w:val="706"/>
    <w:uiPriority w:val="39"/>
    <w:pPr>
      <w:ind w:left="200" w:right="0" w:firstLine="0"/>
      <w:jc w:val="left"/>
      <w:spacing w:before="0" w:after="0" w:line="240" w:lineRule="auto"/>
      <w:widowControl/>
    </w:pPr>
    <w:rPr>
      <w:rFonts w:ascii="XO Thames" w:hAnsi="XO Thames" w:eastAsia="Tahoma" w:cs="Droid Sans Devanagari"/>
      <w:color w:val="000000"/>
      <w:spacing w:val="0"/>
      <w:sz w:val="28"/>
      <w:szCs w:val="20"/>
      <w:lang w:val="ru-RU" w:eastAsia="zh-CN" w:bidi="hi-IN"/>
    </w:rPr>
  </w:style>
  <w:style w:type="paragraph" w:styleId="748">
    <w:name w:val="toc 4"/>
    <w:next w:val="706"/>
    <w:uiPriority w:val="39"/>
    <w:pPr>
      <w:ind w:left="600" w:right="0" w:firstLine="0"/>
      <w:jc w:val="left"/>
      <w:spacing w:before="0" w:after="0" w:line="240" w:lineRule="auto"/>
      <w:widowControl/>
    </w:pPr>
    <w:rPr>
      <w:rFonts w:ascii="XO Thames" w:hAnsi="XO Thames" w:eastAsia="Tahoma" w:cs="Droid Sans Devanagari"/>
      <w:color w:val="000000"/>
      <w:spacing w:val="0"/>
      <w:sz w:val="28"/>
      <w:szCs w:val="20"/>
      <w:lang w:val="ru-RU" w:eastAsia="zh-CN" w:bidi="hi-IN"/>
    </w:rPr>
  </w:style>
  <w:style w:type="paragraph" w:styleId="749">
    <w:name w:val="toc 6"/>
    <w:next w:val="706"/>
    <w:uiPriority w:val="39"/>
    <w:pPr>
      <w:ind w:left="1000" w:right="0" w:firstLine="0"/>
      <w:jc w:val="left"/>
      <w:spacing w:before="0" w:after="0" w:line="240" w:lineRule="auto"/>
      <w:widowControl/>
    </w:pPr>
    <w:rPr>
      <w:rFonts w:ascii="XO Thames" w:hAnsi="XO Thames" w:eastAsia="Tahoma" w:cs="Droid Sans Devanagari"/>
      <w:color w:val="000000"/>
      <w:spacing w:val="0"/>
      <w:sz w:val="28"/>
      <w:szCs w:val="20"/>
      <w:lang w:val="ru-RU" w:eastAsia="zh-CN" w:bidi="hi-IN"/>
    </w:rPr>
  </w:style>
  <w:style w:type="paragraph" w:styleId="750">
    <w:name w:val="toc 7"/>
    <w:next w:val="706"/>
    <w:uiPriority w:val="39"/>
    <w:pPr>
      <w:ind w:left="1200" w:right="0" w:firstLine="0"/>
      <w:jc w:val="left"/>
      <w:spacing w:before="0" w:after="0" w:line="240" w:lineRule="auto"/>
      <w:widowControl/>
    </w:pPr>
    <w:rPr>
      <w:rFonts w:ascii="XO Thames" w:hAnsi="XO Thames" w:eastAsia="Tahoma" w:cs="Droid Sans Devanagari"/>
      <w:color w:val="000000"/>
      <w:spacing w:val="0"/>
      <w:sz w:val="28"/>
      <w:szCs w:val="20"/>
      <w:lang w:val="ru-RU" w:eastAsia="zh-CN" w:bidi="hi-IN"/>
    </w:rPr>
  </w:style>
  <w:style w:type="paragraph" w:styleId="751">
    <w:name w:val="Endnote"/>
    <w:link w:val="718"/>
    <w:qFormat/>
    <w:pPr>
      <w:ind w:left="0" w:right="0" w:firstLine="851"/>
      <w:jc w:val="both"/>
      <w:spacing w:before="0" w:after="0" w:line="240" w:lineRule="auto"/>
      <w:widowControl/>
    </w:pPr>
    <w:rPr>
      <w:rFonts w:ascii="XO Thames" w:hAnsi="XO Thames" w:eastAsia="Tahoma" w:cs="Droid Sans Devanagari"/>
      <w:color w:val="000000"/>
      <w:spacing w:val="0"/>
      <w:sz w:val="22"/>
      <w:szCs w:val="20"/>
      <w:lang w:val="ru-RU" w:eastAsia="zh-CN" w:bidi="hi-IN"/>
    </w:rPr>
  </w:style>
  <w:style w:type="paragraph" w:styleId="752">
    <w:name w:val="page number"/>
    <w:link w:val="720"/>
    <w:qFormat/>
    <w:pPr>
      <w:ind w:left="0" w:right="0" w:firstLine="0"/>
      <w:jc w:val="left"/>
      <w:spacing w:before="0" w:after="0" w:line="240" w:lineRule="auto"/>
      <w:widowControl/>
    </w:pPr>
    <w:rPr>
      <w:rFonts w:ascii="Calibri" w:hAnsi="Calibri" w:eastAsia="Tahoma" w:cs="Droid Sans Devanagari"/>
      <w:color w:val="000000"/>
      <w:spacing w:val="0"/>
      <w:sz w:val="20"/>
      <w:szCs w:val="20"/>
      <w:lang w:val="ru-RU" w:eastAsia="zh-CN" w:bidi="hi-IN"/>
    </w:rPr>
  </w:style>
  <w:style w:type="paragraph" w:styleId="753">
    <w:name w:val="Body Text Indent"/>
    <w:basedOn w:val="706"/>
    <w:pPr>
      <w:ind w:left="0" w:right="0" w:firstLine="567"/>
      <w:jc w:val="both"/>
    </w:pPr>
    <w:rPr>
      <w:sz w:val="24"/>
    </w:rPr>
  </w:style>
  <w:style w:type="paragraph" w:styleId="754">
    <w:name w:val="Footer"/>
    <w:basedOn w:val="706"/>
    <w:pPr>
      <w:tabs>
        <w:tab w:val="clear" w:pos="708" w:leader="none"/>
        <w:tab w:val="center" w:pos="4153" w:leader="none"/>
        <w:tab w:val="right" w:pos="8306" w:leader="none"/>
      </w:tabs>
    </w:pPr>
  </w:style>
  <w:style w:type="paragraph" w:styleId="755">
    <w:name w:val="toc 3"/>
    <w:next w:val="706"/>
    <w:uiPriority w:val="39"/>
    <w:pPr>
      <w:ind w:left="400" w:right="0" w:firstLine="0"/>
      <w:jc w:val="left"/>
      <w:spacing w:before="0" w:after="0" w:line="240" w:lineRule="auto"/>
      <w:widowControl/>
    </w:pPr>
    <w:rPr>
      <w:rFonts w:ascii="XO Thames" w:hAnsi="XO Thames" w:eastAsia="Tahoma" w:cs="Droid Sans Devanagari"/>
      <w:color w:val="000000"/>
      <w:spacing w:val="0"/>
      <w:sz w:val="28"/>
      <w:szCs w:val="20"/>
      <w:lang w:val="ru-RU" w:eastAsia="zh-CN" w:bidi="hi-IN"/>
    </w:rPr>
  </w:style>
  <w:style w:type="paragraph" w:styleId="756">
    <w:name w:val="Default Paragraph Font"/>
    <w:link w:val="724"/>
    <w:qFormat/>
    <w:pPr>
      <w:ind w:left="0" w:right="0" w:firstLine="0"/>
      <w:jc w:val="left"/>
      <w:spacing w:before="0" w:after="0" w:line="240" w:lineRule="auto"/>
      <w:widowControl/>
    </w:pPr>
    <w:rPr>
      <w:rFonts w:ascii="Calibri" w:hAnsi="Calibri" w:eastAsia="Tahoma" w:cs="Droid Sans Devanagari"/>
      <w:color w:val="000000"/>
      <w:spacing w:val="0"/>
      <w:sz w:val="20"/>
      <w:szCs w:val="20"/>
      <w:lang w:val="ru-RU" w:eastAsia="zh-CN" w:bidi="hi-IN"/>
    </w:rPr>
  </w:style>
  <w:style w:type="paragraph" w:styleId="757">
    <w:name w:val="Hyperlink"/>
    <w:qFormat/>
    <w:pPr>
      <w:ind w:left="0" w:right="0" w:firstLine="0"/>
      <w:jc w:val="left"/>
      <w:spacing w:before="0" w:after="0" w:line="240" w:lineRule="auto"/>
      <w:widowControl/>
    </w:pPr>
    <w:rPr>
      <w:rFonts w:ascii="Calibri" w:hAnsi="Calibri" w:eastAsia="Tahoma" w:cs="Droid Sans Devanagari"/>
      <w:color w:val="0000ff"/>
      <w:spacing w:val="0"/>
      <w:sz w:val="20"/>
      <w:szCs w:val="20"/>
      <w:u w:val="single"/>
      <w:lang w:val="ru-RU" w:eastAsia="zh-CN" w:bidi="hi-IN"/>
    </w:rPr>
  </w:style>
  <w:style w:type="paragraph" w:styleId="758">
    <w:name w:val="Footnote"/>
    <w:link w:val="728"/>
    <w:qFormat/>
    <w:pPr>
      <w:ind w:left="0" w:right="0" w:firstLine="851"/>
      <w:jc w:val="both"/>
      <w:spacing w:before="0" w:after="0" w:line="240" w:lineRule="auto"/>
      <w:widowControl/>
    </w:pPr>
    <w:rPr>
      <w:rFonts w:ascii="XO Thames" w:hAnsi="XO Thames" w:eastAsia="Tahoma" w:cs="Droid Sans Devanagari"/>
      <w:color w:val="000000"/>
      <w:spacing w:val="0"/>
      <w:sz w:val="22"/>
      <w:szCs w:val="20"/>
      <w:lang w:val="ru-RU" w:eastAsia="zh-CN" w:bidi="hi-IN"/>
    </w:rPr>
  </w:style>
  <w:style w:type="paragraph" w:styleId="759">
    <w:name w:val="toc 1"/>
    <w:next w:val="706"/>
    <w:uiPriority w:val="39"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Tahoma" w:cs="Droid Sans Devanagari"/>
      <w:b/>
      <w:color w:val="000000"/>
      <w:spacing w:val="0"/>
      <w:sz w:val="28"/>
      <w:szCs w:val="20"/>
      <w:lang w:val="ru-RU" w:eastAsia="zh-CN" w:bidi="hi-IN"/>
    </w:rPr>
  </w:style>
  <w:style w:type="paragraph" w:styleId="760">
    <w:name w:val="toc 9"/>
    <w:next w:val="706"/>
    <w:uiPriority w:val="39"/>
    <w:pPr>
      <w:ind w:left="1600" w:right="0" w:firstLine="0"/>
      <w:jc w:val="left"/>
      <w:spacing w:before="0" w:after="0" w:line="240" w:lineRule="auto"/>
      <w:widowControl/>
    </w:pPr>
    <w:rPr>
      <w:rFonts w:ascii="XO Thames" w:hAnsi="XO Thames" w:eastAsia="Tahoma" w:cs="Droid Sans Devanagari"/>
      <w:color w:val="000000"/>
      <w:spacing w:val="0"/>
      <w:sz w:val="28"/>
      <w:szCs w:val="20"/>
      <w:lang w:val="ru-RU" w:eastAsia="zh-CN" w:bidi="hi-IN"/>
    </w:rPr>
  </w:style>
  <w:style w:type="paragraph" w:styleId="761">
    <w:name w:val="toc 8"/>
    <w:next w:val="706"/>
    <w:uiPriority w:val="39"/>
    <w:pPr>
      <w:ind w:left="1400" w:right="0" w:firstLine="0"/>
      <w:jc w:val="left"/>
      <w:spacing w:before="0" w:after="0" w:line="240" w:lineRule="auto"/>
      <w:widowControl/>
    </w:pPr>
    <w:rPr>
      <w:rFonts w:ascii="XO Thames" w:hAnsi="XO Thames" w:eastAsia="Tahoma" w:cs="Droid Sans Devanagari"/>
      <w:color w:val="000000"/>
      <w:spacing w:val="0"/>
      <w:sz w:val="28"/>
      <w:szCs w:val="20"/>
      <w:lang w:val="ru-RU" w:eastAsia="zh-CN" w:bidi="hi-IN"/>
    </w:rPr>
  </w:style>
  <w:style w:type="paragraph" w:styleId="762">
    <w:name w:val="toc 5"/>
    <w:next w:val="706"/>
    <w:uiPriority w:val="39"/>
    <w:pPr>
      <w:ind w:left="800" w:right="0" w:firstLine="0"/>
      <w:jc w:val="left"/>
      <w:spacing w:before="0" w:after="0" w:line="240" w:lineRule="auto"/>
      <w:widowControl/>
    </w:pPr>
    <w:rPr>
      <w:rFonts w:ascii="XO Thames" w:hAnsi="XO Thames" w:eastAsia="Tahoma" w:cs="Droid Sans Devanagari"/>
      <w:color w:val="000000"/>
      <w:spacing w:val="0"/>
      <w:sz w:val="28"/>
      <w:szCs w:val="20"/>
      <w:lang w:val="ru-RU" w:eastAsia="zh-CN" w:bidi="hi-IN"/>
    </w:rPr>
  </w:style>
  <w:style w:type="paragraph" w:styleId="763">
    <w:name w:val="Body Text 2"/>
    <w:basedOn w:val="706"/>
    <w:link w:val="734"/>
    <w:qFormat/>
    <w:rPr>
      <w:sz w:val="24"/>
    </w:rPr>
  </w:style>
  <w:style w:type="paragraph" w:styleId="764">
    <w:name w:val="Subtitle"/>
    <w:next w:val="706"/>
    <w:uiPriority w:val="11"/>
    <w:qFormat/>
    <w:pPr>
      <w:ind w:left="0" w:right="0" w:firstLine="0"/>
      <w:jc w:val="both"/>
      <w:spacing w:before="0" w:after="0" w:line="240" w:lineRule="auto"/>
      <w:widowControl/>
    </w:pPr>
    <w:rPr>
      <w:rFonts w:ascii="XO Thames" w:hAnsi="XO Thames" w:eastAsia="Tahoma" w:cs="Droid Sans Devanagari"/>
      <w:i/>
      <w:color w:val="000000"/>
      <w:spacing w:val="0"/>
      <w:sz w:val="24"/>
      <w:szCs w:val="20"/>
      <w:lang w:val="ru-RU" w:eastAsia="zh-CN" w:bidi="hi-IN"/>
    </w:rPr>
  </w:style>
  <w:style w:type="paragraph" w:styleId="765">
    <w:name w:val="Balloon Text"/>
    <w:basedOn w:val="706"/>
    <w:link w:val="736"/>
    <w:qFormat/>
    <w:rPr>
      <w:rFonts w:ascii="Tahoma" w:hAnsi="Tahoma"/>
      <w:sz w:val="16"/>
    </w:rPr>
  </w:style>
  <w:style w:type="paragraph" w:styleId="766">
    <w:name w:val="Title"/>
    <w:basedOn w:val="706"/>
    <w:uiPriority w:val="10"/>
    <w:qFormat/>
    <w:pPr>
      <w:jc w:val="center"/>
    </w:pPr>
    <w:rPr>
      <w:b/>
      <w:sz w:val="28"/>
    </w:rPr>
  </w:style>
  <w:style w:type="table" w:styleId="767" w:default="1">
    <w:name w:val="Normal Table"/>
    <w:tblPr>
      <w:tblCellMar>
        <w:left w:w="108" w:type="dxa"/>
        <w:top w:w="0" w:type="dxa"/>
        <w:right w:w="108" w:type="dxa"/>
        <w:bottom w:w="0" w:type="dxa"/>
      </w:tblCellMar>
    </w:tblPr>
  </w:style>
  <w:style w:type="numbering" w:styleId="1040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yperlink" Target="https://www.rts-tender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ru-RU</dc:language>
  <cp:lastModifiedBy>v.kovalevskaya</cp:lastModifiedBy>
  <cp:revision>2</cp:revision>
  <dcterms:modified xsi:type="dcterms:W3CDTF">2026-10-20T09:26:18Z</dcterms:modified>
</cp:coreProperties>
</file>