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2"/>
          <w:szCs w:val="22"/>
        </w:rPr>
      </w:pPr>
      <w:r>
        <w:rPr>
          <w:rFonts w:eastAsia="Lucida Sans Unicode"/>
          <w:b/>
          <w:bCs/>
          <w:sz w:val="22"/>
          <w:szCs w:val="22"/>
          <w:lang w:eastAsia="ar-SA"/>
        </w:rPr>
        <w:t xml:space="preserve">Информационное сообщение </w:t>
      </w:r>
    </w:p>
    <w:p>
      <w:pPr>
        <w:pStyle w:val="Normal"/>
        <w:widowControl w:val="false"/>
        <w:jc w:val="center"/>
        <w:rPr>
          <w:rFonts w:eastAsia="Lucida Sans Unicode"/>
          <w:b/>
          <w:bCs/>
          <w:sz w:val="22"/>
          <w:szCs w:val="22"/>
          <w:lang w:eastAsia="ar-SA"/>
        </w:rPr>
      </w:pPr>
      <w:r>
        <w:rPr>
          <w:rFonts w:eastAsia="Lucida Sans Unicode"/>
          <w:b/>
          <w:bCs/>
          <w:sz w:val="22"/>
          <w:szCs w:val="22"/>
          <w:lang w:eastAsia="ar-SA"/>
        </w:rPr>
        <w:t>о проведении электронного аукциона по реализации вещественных доказательств</w:t>
      </w:r>
    </w:p>
    <w:p>
      <w:pPr>
        <w:pStyle w:val="Normal"/>
        <w:widowControl w:val="false"/>
        <w:jc w:val="center"/>
        <w:rPr>
          <w:rFonts w:eastAsia="Lucida Sans Unicode"/>
          <w:b/>
          <w:bCs/>
          <w:sz w:val="22"/>
          <w:szCs w:val="22"/>
          <w:lang w:eastAsia="ar-SA"/>
        </w:rPr>
      </w:pPr>
      <w:r>
        <w:rPr>
          <w:rFonts w:eastAsia="Lucida Sans Unicode"/>
          <w:b/>
          <w:bCs/>
          <w:sz w:val="24"/>
          <w:szCs w:val="24"/>
          <w:lang w:eastAsia="ar-SA"/>
        </w:rPr>
        <w:t xml:space="preserve"> </w:t>
      </w:r>
      <w:r>
        <w:rPr>
          <w:rFonts w:eastAsia="Lucida Sans Unicode"/>
          <w:b/>
          <w:bCs/>
          <w:sz w:val="22"/>
          <w:szCs w:val="22"/>
          <w:lang w:eastAsia="ar-SA"/>
        </w:rPr>
        <w:t xml:space="preserve">(в соответствии с Постановлением Правительства Российской Федерации от 30.09.2015 № 1041 (ред. от 19 июня 2021 г.) «О реализации имущества, обращенного в собственность государства, вещественных доказательств, изъятых вещей, а также задержанных таможенными органами товаров и о внесении изменения в постановление Правительства Российской Федерации от 10 сентября 2012 г. N 909»). </w:t>
      </w:r>
    </w:p>
    <w:p>
      <w:pPr>
        <w:pStyle w:val="Normal"/>
        <w:widowControl w:val="false"/>
        <w:jc w:val="center"/>
        <w:rPr>
          <w:color w:val="000000"/>
          <w:sz w:val="22"/>
          <w:szCs w:val="22"/>
        </w:rPr>
      </w:pPr>
      <w:r>
        <w:rPr>
          <w:color w:val="000000"/>
          <w:sz w:val="22"/>
          <w:szCs w:val="22"/>
        </w:rPr>
        <w:t xml:space="preserve">(снижение цены на </w:t>
      </w:r>
      <w:r>
        <w:rPr>
          <w:color w:val="000000"/>
          <w:sz w:val="22"/>
          <w:szCs w:val="22"/>
        </w:rPr>
        <w:t>6</w:t>
      </w:r>
      <w:r>
        <w:rPr>
          <w:color w:val="000000"/>
          <w:sz w:val="22"/>
          <w:szCs w:val="22"/>
        </w:rPr>
        <w:t>0%)</w:t>
      </w:r>
    </w:p>
    <w:tbl>
      <w:tblPr>
        <w:tblStyle w:val="863"/>
        <w:tblW w:w="10774" w:type="dxa"/>
        <w:jc w:val="left"/>
        <w:tblInd w:w="-885" w:type="dxa"/>
        <w:tblLayout w:type="fixed"/>
        <w:tblCellMar>
          <w:top w:w="0" w:type="dxa"/>
          <w:left w:w="108" w:type="dxa"/>
          <w:bottom w:w="0" w:type="dxa"/>
          <w:right w:w="108" w:type="dxa"/>
        </w:tblCellMar>
        <w:tblLook w:val="0000" w:noHBand="0" w:noVBand="0" w:firstColumn="0" w:lastRow="0" w:lastColumn="0" w:firstRow="0"/>
      </w:tblPr>
      <w:tblGrid>
        <w:gridCol w:w="708"/>
        <w:gridCol w:w="2269"/>
        <w:gridCol w:w="566"/>
        <w:gridCol w:w="2978"/>
        <w:gridCol w:w="850"/>
        <w:gridCol w:w="1277"/>
        <w:gridCol w:w="991"/>
        <w:gridCol w:w="1133"/>
      </w:tblGrid>
      <w:tr>
        <w:trPr>
          <w:trHeight w:val="20" w:hRule="atLeast"/>
        </w:trPr>
        <w:tc>
          <w:tcPr>
            <w:tcW w:w="708" w:type="dxa"/>
            <w:tcBorders/>
          </w:tcPr>
          <w:p>
            <w:pPr>
              <w:pStyle w:val="Normal"/>
              <w:widowControl w:val="false"/>
              <w:tabs>
                <w:tab w:val="clear" w:pos="708"/>
                <w:tab w:val="left" w:pos="3960" w:leader="none"/>
              </w:tabs>
              <w:spacing w:before="0" w:after="0"/>
              <w:jc w:val="center"/>
              <w:rPr>
                <w:rFonts w:eastAsia="Lucida Sans Unicode"/>
                <w:b/>
                <w:sz w:val="18"/>
                <w:lang w:eastAsia="ar-SA"/>
              </w:rPr>
            </w:pPr>
            <w:r>
              <w:rPr>
                <w:rFonts w:eastAsia="Lucida Sans Unicode"/>
                <w:b/>
                <w:kern w:val="0"/>
                <w:sz w:val="18"/>
                <w:lang w:val="ru-RU" w:eastAsia="ar-SA" w:bidi="ar-SA"/>
              </w:rPr>
              <w:t xml:space="preserve">№ </w:t>
            </w:r>
            <w:r>
              <w:rPr>
                <w:rFonts w:eastAsia="Lucida Sans Unicode"/>
                <w:b/>
                <w:kern w:val="0"/>
                <w:sz w:val="18"/>
                <w:lang w:val="ru-RU" w:eastAsia="ar-SA" w:bidi="ar-SA"/>
              </w:rPr>
              <w:t>п/п</w:t>
            </w:r>
          </w:p>
        </w:tc>
        <w:tc>
          <w:tcPr>
            <w:tcW w:w="2269" w:type="dxa"/>
            <w:tcBorders/>
          </w:tcPr>
          <w:p>
            <w:pPr>
              <w:pStyle w:val="Normal"/>
              <w:widowControl w:val="false"/>
              <w:spacing w:before="0" w:after="0"/>
              <w:jc w:val="center"/>
              <w:rPr>
                <w:rFonts w:eastAsia="Lucida Sans Unicode"/>
                <w:b/>
                <w:sz w:val="18"/>
                <w:lang w:eastAsia="ar-SA"/>
              </w:rPr>
            </w:pPr>
            <w:r>
              <w:rPr>
                <w:rFonts w:eastAsia="Lucida Sans Unicode"/>
                <w:b/>
                <w:kern w:val="0"/>
                <w:sz w:val="18"/>
                <w:lang w:val="ru-RU" w:eastAsia="ar-SA" w:bidi="ar-SA"/>
              </w:rPr>
              <w:t>Наименование</w:t>
            </w:r>
          </w:p>
        </w:tc>
        <w:tc>
          <w:tcPr>
            <w:tcW w:w="7795" w:type="dxa"/>
            <w:gridSpan w:val="6"/>
            <w:tcBorders/>
          </w:tcPr>
          <w:p>
            <w:pPr>
              <w:pStyle w:val="Normal"/>
              <w:widowControl/>
              <w:tabs>
                <w:tab w:val="clear" w:pos="708"/>
                <w:tab w:val="left" w:pos="578" w:leader="none"/>
              </w:tabs>
              <w:spacing w:before="0" w:after="0"/>
              <w:jc w:val="center"/>
              <w:rPr>
                <w:b/>
                <w:sz w:val="18"/>
                <w:lang w:eastAsia="ar-SA"/>
              </w:rPr>
            </w:pPr>
            <w:r>
              <w:rPr>
                <w:b/>
                <w:kern w:val="0"/>
                <w:sz w:val="18"/>
                <w:lang w:val="ru-RU" w:eastAsia="ar-SA" w:bidi="ar-SA"/>
              </w:rPr>
              <w:t>Содержание</w:t>
            </w:r>
          </w:p>
        </w:tc>
      </w:tr>
      <w:tr>
        <w:trPr>
          <w:trHeight w:val="20" w:hRule="atLeast"/>
        </w:trPr>
        <w:tc>
          <w:tcPr>
            <w:tcW w:w="708" w:type="dxa"/>
            <w:tcBorders/>
          </w:tcPr>
          <w:p>
            <w:pPr>
              <w:pStyle w:val="Normal"/>
              <w:widowControl w:val="false"/>
              <w:tabs>
                <w:tab w:val="clear" w:pos="708"/>
                <w:tab w:val="left" w:pos="3960" w:leader="none"/>
              </w:tabs>
              <w:spacing w:before="0" w:after="0"/>
              <w:jc w:val="center"/>
              <w:rPr>
                <w:rFonts w:eastAsia="Lucida Sans Unicode"/>
                <w:lang w:eastAsia="ar-SA"/>
              </w:rPr>
            </w:pPr>
            <w:r>
              <w:rPr>
                <w:rFonts w:eastAsia="Lucida Sans Unicode"/>
                <w:kern w:val="0"/>
                <w:lang w:val="ru-RU" w:eastAsia="ar-SA" w:bidi="ar-SA"/>
              </w:rPr>
              <w:t>1</w:t>
            </w:r>
          </w:p>
        </w:tc>
        <w:tc>
          <w:tcPr>
            <w:tcW w:w="2269" w:type="dxa"/>
            <w:tcBorders/>
          </w:tcPr>
          <w:p>
            <w:pPr>
              <w:pStyle w:val="Normal"/>
              <w:widowControl w:val="false"/>
              <w:spacing w:before="0" w:after="0"/>
              <w:jc w:val="left"/>
              <w:rPr>
                <w:rFonts w:eastAsia="Lucida Sans Unicode"/>
                <w:sz w:val="18"/>
                <w:lang w:eastAsia="ar-SA"/>
              </w:rPr>
            </w:pPr>
            <w:r>
              <w:rPr>
                <w:rFonts w:eastAsia="Lucida Sans Unicode"/>
                <w:kern w:val="0"/>
                <w:sz w:val="18"/>
                <w:lang w:val="ru-RU" w:eastAsia="ar-SA" w:bidi="ar-SA"/>
              </w:rPr>
              <w:t>Наименование оператора электронной площадки и официальный сайт в сети «Интернет», на котором будет проводиться реализация имущества в электронной форме</w:t>
            </w:r>
          </w:p>
        </w:tc>
        <w:tc>
          <w:tcPr>
            <w:tcW w:w="7795" w:type="dxa"/>
            <w:gridSpan w:val="6"/>
            <w:tcBorders/>
          </w:tcPr>
          <w:p>
            <w:pPr>
              <w:pStyle w:val="Normal"/>
              <w:widowControl/>
              <w:tabs>
                <w:tab w:val="clear" w:pos="708"/>
                <w:tab w:val="left" w:pos="0" w:leader="none"/>
                <w:tab w:val="left" w:pos="578" w:leader="none"/>
              </w:tabs>
              <w:spacing w:before="0" w:after="0"/>
              <w:jc w:val="center"/>
              <w:rPr>
                <w:rFonts w:eastAsia="Lucida Sans Unicode"/>
                <w:sz w:val="16"/>
                <w:szCs w:val="16"/>
                <w:lang w:eastAsia="ar-SA"/>
              </w:rPr>
            </w:pPr>
            <w:r>
              <w:rPr>
                <w:rFonts w:eastAsia="Lucida Sans Unicode"/>
                <w:kern w:val="0"/>
                <w:sz w:val="16"/>
                <w:szCs w:val="16"/>
                <w:lang w:val="ru-RU" w:eastAsia="ar-SA" w:bidi="ar-SA"/>
              </w:rPr>
            </w:r>
          </w:p>
          <w:p>
            <w:pPr>
              <w:pStyle w:val="Normal"/>
              <w:widowControl/>
              <w:tabs>
                <w:tab w:val="clear" w:pos="708"/>
                <w:tab w:val="left" w:pos="0" w:leader="none"/>
                <w:tab w:val="left" w:pos="578" w:leader="none"/>
              </w:tabs>
              <w:spacing w:before="0" w:after="0"/>
              <w:jc w:val="center"/>
              <w:rPr>
                <w:rFonts w:ascii="Times New Roman CYR" w:hAnsi="Times New Roman CYR" w:eastAsia="Calibri" w:cs="Times New Roman CYR" w:eastAsiaTheme="minorHAnsi"/>
                <w:sz w:val="22"/>
                <w:szCs w:val="22"/>
                <w:lang w:eastAsia="en-US"/>
              </w:rPr>
            </w:pPr>
            <w:r>
              <w:rPr>
                <w:rFonts w:eastAsia="Calibri" w:cs="Times New Roman CYR" w:ascii="Times New Roman CYR" w:hAnsi="Times New Roman CYR" w:eastAsiaTheme="minorHAnsi"/>
                <w:kern w:val="0"/>
                <w:sz w:val="22"/>
                <w:szCs w:val="22"/>
                <w:lang w:val="ru-RU" w:eastAsia="en-US" w:bidi="ar-SA"/>
              </w:rPr>
              <w:t>Электронная площадка «РТС-Тендер»</w:t>
            </w:r>
          </w:p>
          <w:p>
            <w:pPr>
              <w:pStyle w:val="Normal"/>
              <w:widowControl/>
              <w:tabs>
                <w:tab w:val="clear" w:pos="708"/>
                <w:tab w:val="left" w:pos="0" w:leader="none"/>
                <w:tab w:val="left" w:pos="578" w:leader="none"/>
              </w:tabs>
              <w:spacing w:before="0" w:after="0"/>
              <w:jc w:val="center"/>
              <w:rPr>
                <w:rFonts w:eastAsia="Lucida Sans Unicode"/>
                <w:sz w:val="16"/>
                <w:szCs w:val="22"/>
                <w:lang w:eastAsia="ar-SA"/>
              </w:rPr>
            </w:pPr>
            <w:hyperlink r:id="rId2" w:tooltip="https://www.rts-tender.ru">
              <w:r>
                <w:rPr>
                  <w:rStyle w:val="Style"/>
                  <w:rFonts w:eastAsia="Calibri" w:cs="Times New Roman CYR" w:ascii="Times New Roman CYR" w:hAnsi="Times New Roman CYR" w:eastAsiaTheme="minorHAnsi"/>
                  <w:color w:themeColor="hyperlink" w:val="0000FF"/>
                  <w:kern w:val="0"/>
                  <w:sz w:val="22"/>
                  <w:szCs w:val="22"/>
                  <w:u w:val="single"/>
                  <w:lang w:val="ru-RU" w:eastAsia="en-US" w:bidi="ar-SA"/>
                </w:rPr>
                <w:t>https://www.rts-tender.ru</w:t>
              </w:r>
            </w:hyperlink>
          </w:p>
          <w:p>
            <w:pPr>
              <w:pStyle w:val="Normal"/>
              <w:widowControl/>
              <w:tabs>
                <w:tab w:val="clear" w:pos="708"/>
                <w:tab w:val="left" w:pos="578" w:leader="none"/>
              </w:tabs>
              <w:spacing w:before="0" w:after="0"/>
              <w:jc w:val="left"/>
              <w:rPr>
                <w:rFonts w:eastAsia="Lucida Sans Unicode"/>
                <w:sz w:val="16"/>
                <w:szCs w:val="22"/>
                <w:lang w:eastAsia="ar-SA"/>
              </w:rPr>
            </w:pPr>
            <w:r>
              <w:rPr>
                <w:rFonts w:eastAsia="Lucida Sans Unicode"/>
                <w:kern w:val="0"/>
                <w:sz w:val="16"/>
                <w:szCs w:val="22"/>
                <w:lang w:val="ru-RU" w:eastAsia="ar-SA" w:bidi="ar-SA"/>
              </w:rPr>
            </w:r>
          </w:p>
          <w:p>
            <w:pPr>
              <w:pStyle w:val="Normal"/>
              <w:widowControl/>
              <w:tabs>
                <w:tab w:val="clear" w:pos="708"/>
                <w:tab w:val="left" w:pos="578" w:leader="none"/>
              </w:tabs>
              <w:spacing w:before="0" w:after="0"/>
              <w:jc w:val="center"/>
              <w:rPr>
                <w:rFonts w:eastAsia="Calibri" w:eastAsiaTheme="minorHAnsi"/>
                <w:szCs w:val="22"/>
                <w:lang w:eastAsia="en-US"/>
              </w:rPr>
            </w:pPr>
            <w:r>
              <w:rPr>
                <w:rFonts w:eastAsia="Calibri" w:eastAsiaTheme="minorHAnsi"/>
                <w:kern w:val="0"/>
                <w:szCs w:val="22"/>
                <w:lang w:val="ru-RU" w:eastAsia="en-US" w:bidi="ar-SA"/>
              </w:rPr>
              <w:t>Информация о торгах размещена также на сайтах</w:t>
            </w:r>
          </w:p>
          <w:p>
            <w:pPr>
              <w:pStyle w:val="Normal"/>
              <w:widowControl/>
              <w:tabs>
                <w:tab w:val="clear" w:pos="708"/>
                <w:tab w:val="left" w:pos="578" w:leader="none"/>
              </w:tabs>
              <w:spacing w:before="0" w:after="0"/>
              <w:jc w:val="center"/>
              <w:rPr>
                <w:b/>
                <w:sz w:val="18"/>
                <w:lang w:val="en-US" w:eastAsia="ar-SA"/>
              </w:rPr>
            </w:pPr>
            <w:r>
              <w:rPr>
                <w:rFonts w:eastAsia="Calibri" w:eastAsiaTheme="minorHAnsi"/>
                <w:kern w:val="0"/>
                <w:szCs w:val="22"/>
                <w:lang w:val="ru-RU" w:eastAsia="en-US" w:bidi="ar-SA"/>
              </w:rPr>
              <w:t xml:space="preserve"> </w:t>
            </w:r>
            <w:hyperlink r:id="rId3" w:tooltip="http://www.torgi.gov.ru">
              <w:r>
                <w:rPr>
                  <w:rStyle w:val="Hyperlink"/>
                  <w:rFonts w:eastAsia="Calibri" w:eastAsiaTheme="minorHAnsi"/>
                  <w:kern w:val="0"/>
                  <w:szCs w:val="22"/>
                  <w:lang w:val="en-US" w:eastAsia="en-US" w:bidi="ar-SA"/>
                </w:rPr>
                <w:t>www.torgi.gov.ru</w:t>
              </w:r>
            </w:hyperlink>
            <w:r>
              <w:rPr>
                <w:rFonts w:eastAsia="Calibri" w:eastAsiaTheme="minorHAnsi"/>
                <w:kern w:val="0"/>
                <w:szCs w:val="22"/>
                <w:lang w:val="en-US" w:eastAsia="en-US" w:bidi="ar-SA"/>
              </w:rPr>
              <w:t>, tu24.rosim.ru</w:t>
            </w:r>
          </w:p>
        </w:tc>
      </w:tr>
      <w:tr>
        <w:trPr>
          <w:trHeight w:val="20" w:hRule="atLeast"/>
        </w:trPr>
        <w:tc>
          <w:tcPr>
            <w:tcW w:w="708" w:type="dxa"/>
            <w:tcBorders/>
          </w:tcPr>
          <w:p>
            <w:pPr>
              <w:pStyle w:val="Normal"/>
              <w:widowControl w:val="false"/>
              <w:tabs>
                <w:tab w:val="clear" w:pos="708"/>
                <w:tab w:val="left" w:pos="3960" w:leader="none"/>
              </w:tabs>
              <w:spacing w:before="0" w:after="0"/>
              <w:jc w:val="center"/>
              <w:rPr>
                <w:rFonts w:eastAsia="Lucida Sans Unicode"/>
                <w:lang w:val="en-US" w:eastAsia="ar-SA"/>
              </w:rPr>
            </w:pPr>
            <w:r>
              <w:rPr>
                <w:rFonts w:eastAsia="Lucida Sans Unicode"/>
                <w:kern w:val="0"/>
                <w:lang w:val="en-US" w:eastAsia="ar-SA" w:bidi="ar-SA"/>
              </w:rPr>
              <w:t>2</w:t>
            </w:r>
          </w:p>
        </w:tc>
        <w:tc>
          <w:tcPr>
            <w:tcW w:w="2269" w:type="dxa"/>
            <w:tcBorders/>
          </w:tcPr>
          <w:p>
            <w:pPr>
              <w:pStyle w:val="Normal"/>
              <w:widowControl w:val="false"/>
              <w:spacing w:before="0" w:after="0"/>
              <w:jc w:val="left"/>
              <w:rPr>
                <w:rFonts w:eastAsia="Lucida Sans Unicode"/>
                <w:sz w:val="18"/>
                <w:lang w:eastAsia="ar-SA"/>
              </w:rPr>
            </w:pPr>
            <w:r>
              <w:rPr>
                <w:rFonts w:eastAsia="Lucida Sans Unicode"/>
                <w:kern w:val="0"/>
                <w:sz w:val="18"/>
                <w:lang w:val="ru-RU" w:eastAsia="ar-SA" w:bidi="ar-SA"/>
              </w:rPr>
              <w:t>Наименование, адрес Организатора аукциона в электронной форме, контактная информация</w:t>
            </w:r>
          </w:p>
        </w:tc>
        <w:tc>
          <w:tcPr>
            <w:tcW w:w="7795" w:type="dxa"/>
            <w:gridSpan w:val="6"/>
            <w:tcBorders/>
          </w:tcPr>
          <w:p>
            <w:pPr>
              <w:pStyle w:val="Normal"/>
              <w:widowControl/>
              <w:tabs>
                <w:tab w:val="clear" w:pos="708"/>
                <w:tab w:val="left" w:pos="0" w:leader="none"/>
                <w:tab w:val="left" w:pos="578" w:leader="none"/>
              </w:tabs>
              <w:spacing w:before="0" w:after="0"/>
              <w:jc w:val="center"/>
              <w:rPr>
                <w:rFonts w:ascii="Times New Roman CYR" w:hAnsi="Times New Roman CYR" w:eastAsia="Calibri" w:cs="Times New Roman CYR" w:eastAsiaTheme="minorHAnsi"/>
                <w:b/>
                <w:lang w:eastAsia="en-US"/>
              </w:rPr>
            </w:pPr>
            <w:r>
              <w:rPr>
                <w:rFonts w:eastAsia="Calibri" w:cs="Times New Roman CYR" w:ascii="Times New Roman CYR" w:hAnsi="Times New Roman CYR" w:eastAsiaTheme="minorHAnsi"/>
                <w:b/>
                <w:kern w:val="0"/>
                <w:lang w:val="ru-RU" w:eastAsia="en-US" w:bidi="ar-SA"/>
              </w:rPr>
              <w:t>Межрегиональное Территориальное управление Федерального агентства по управлению государственным имуществом в Красноярском крае, Республике Хакасия и Республике Тыва,</w:t>
            </w:r>
            <w:r>
              <w:rPr>
                <w:bCs/>
                <w:iCs/>
                <w:kern w:val="0"/>
                <w:lang w:val="ru-RU" w:bidi="ar-SA"/>
              </w:rPr>
              <w:t xml:space="preserve"> Отдел </w:t>
            </w:r>
            <w:r>
              <w:rPr>
                <w:kern w:val="0"/>
                <w:lang w:val="ru-RU" w:bidi="ar-SA"/>
              </w:rPr>
              <w:t>управления государственным имуществом и взаимодействия с органами государственной власти, и местного самоуправления в Республике Тыва.</w:t>
            </w:r>
          </w:p>
          <w:p>
            <w:pPr>
              <w:pStyle w:val="Normal"/>
              <w:widowControl/>
              <w:tabs>
                <w:tab w:val="clear" w:pos="708"/>
                <w:tab w:val="left" w:pos="0" w:leader="none"/>
                <w:tab w:val="left" w:pos="578" w:leader="none"/>
              </w:tabs>
              <w:spacing w:before="0" w:after="0"/>
              <w:jc w:val="center"/>
              <w:rPr>
                <w:kern w:val="0"/>
                <w:lang w:val="ru-RU" w:bidi="ar-SA"/>
              </w:rPr>
            </w:pPr>
            <w:r>
              <w:rPr>
                <w:bCs/>
                <w:kern w:val="0"/>
                <w:sz w:val="18"/>
                <w:u w:val="single"/>
                <w:lang w:val="ru-RU" w:eastAsia="ar-SA" w:bidi="ar-SA"/>
              </w:rPr>
              <w:t>Адрес:</w:t>
            </w:r>
            <w:r>
              <w:rPr>
                <w:bCs/>
                <w:kern w:val="0"/>
                <w:sz w:val="18"/>
                <w:lang w:val="ru-RU" w:eastAsia="ar-SA" w:bidi="ar-SA"/>
              </w:rPr>
              <w:t xml:space="preserve"> </w:t>
            </w:r>
            <w:r>
              <w:rPr>
                <w:bCs/>
                <w:kern w:val="0"/>
                <w:sz w:val="18"/>
                <w:u w:val="single"/>
                <w:lang w:val="ru-RU" w:eastAsia="ar-SA" w:bidi="ar-SA"/>
              </w:rPr>
              <w:t>667003, Республика Тыва, г. Кызыл, ул. Улуг-Хемская, д. 14.</w:t>
            </w:r>
          </w:p>
          <w:p>
            <w:pPr>
              <w:pStyle w:val="Normal"/>
              <w:keepNext w:val="true"/>
              <w:widowControl/>
              <w:numPr>
                <w:ilvl w:val="0"/>
                <w:numId w:val="0"/>
              </w:numPr>
              <w:tabs>
                <w:tab w:val="clear" w:pos="708"/>
                <w:tab w:val="left" w:pos="0" w:leader="none"/>
              </w:tabs>
              <w:spacing w:before="0" w:after="0"/>
              <w:jc w:val="center"/>
              <w:outlineLvl w:val="0"/>
              <w:rPr>
                <w:sz w:val="18"/>
                <w:lang w:eastAsia="ar-SA"/>
              </w:rPr>
            </w:pPr>
            <w:r>
              <w:rPr>
                <w:kern w:val="0"/>
                <w:u w:val="single"/>
                <w:lang w:val="ru-RU" w:eastAsia="ar-SA" w:bidi="ar-SA"/>
              </w:rPr>
              <w:t>Электронная</w:t>
            </w:r>
            <w:r>
              <w:rPr>
                <w:kern w:val="0"/>
                <w:sz w:val="18"/>
                <w:u w:val="single"/>
                <w:lang w:val="ru-RU" w:eastAsia="ar-SA" w:bidi="ar-SA"/>
              </w:rPr>
              <w:t xml:space="preserve"> почта: </w:t>
            </w:r>
            <w:hyperlink r:id="rId4" w:tooltip="mailto:tu17@rosim.gov.ru">
              <w:r>
                <w:rPr>
                  <w:rStyle w:val="Hyperlink"/>
                  <w:kern w:val="0"/>
                  <w:sz w:val="18"/>
                  <w:szCs w:val="18"/>
                  <w:lang w:val="en-US" w:bidi="ar-SA"/>
                </w:rPr>
                <w:t>tu</w:t>
              </w:r>
              <w:r>
                <w:rPr>
                  <w:rStyle w:val="Hyperlink"/>
                  <w:kern w:val="0"/>
                  <w:sz w:val="18"/>
                  <w:szCs w:val="18"/>
                  <w:lang w:val="ru-RU" w:bidi="ar-SA"/>
                </w:rPr>
                <w:t>17@</w:t>
              </w:r>
              <w:r>
                <w:rPr>
                  <w:rStyle w:val="Hyperlink"/>
                  <w:kern w:val="0"/>
                  <w:sz w:val="18"/>
                  <w:szCs w:val="18"/>
                  <w:lang w:val="en-US" w:bidi="ar-SA"/>
                </w:rPr>
                <w:t>rosim</w:t>
              </w:r>
              <w:r>
                <w:rPr>
                  <w:rStyle w:val="Hyperlink"/>
                  <w:kern w:val="0"/>
                  <w:sz w:val="18"/>
                  <w:szCs w:val="18"/>
                  <w:lang w:val="ru-RU" w:bidi="ar-SA"/>
                </w:rPr>
                <w:t>.</w:t>
              </w:r>
              <w:r>
                <w:rPr>
                  <w:rStyle w:val="Hyperlink"/>
                  <w:kern w:val="0"/>
                  <w:sz w:val="18"/>
                  <w:szCs w:val="18"/>
                  <w:lang w:val="en-US" w:bidi="ar-SA"/>
                </w:rPr>
                <w:t>gov</w:t>
              </w:r>
              <w:r>
                <w:rPr>
                  <w:rStyle w:val="Hyperlink"/>
                  <w:kern w:val="0"/>
                  <w:sz w:val="18"/>
                  <w:szCs w:val="18"/>
                  <w:lang w:val="ru-RU" w:bidi="ar-SA"/>
                </w:rPr>
                <w:t>.</w:t>
              </w:r>
              <w:r>
                <w:rPr>
                  <w:rStyle w:val="Hyperlink"/>
                  <w:kern w:val="0"/>
                  <w:sz w:val="18"/>
                  <w:szCs w:val="18"/>
                  <w:lang w:val="en-US" w:bidi="ar-SA"/>
                </w:rPr>
                <w:t>ru</w:t>
              </w:r>
            </w:hyperlink>
          </w:p>
          <w:p>
            <w:pPr>
              <w:pStyle w:val="Normal"/>
              <w:widowControl/>
              <w:tabs>
                <w:tab w:val="clear" w:pos="708"/>
                <w:tab w:val="left" w:pos="0" w:leader="none"/>
                <w:tab w:val="left" w:pos="578" w:leader="none"/>
              </w:tabs>
              <w:spacing w:before="0" w:after="0"/>
              <w:jc w:val="center"/>
              <w:rPr>
                <w:sz w:val="18"/>
                <w:lang w:eastAsia="ar-SA"/>
              </w:rPr>
            </w:pPr>
            <w:r>
              <w:rPr>
                <w:bCs/>
                <w:kern w:val="0"/>
                <w:u w:val="single"/>
                <w:lang w:val="ru-RU" w:eastAsia="ar-SA" w:bidi="ar-SA"/>
              </w:rPr>
              <w:t xml:space="preserve">тел. </w:t>
            </w:r>
            <w:r>
              <w:rPr>
                <w:kern w:val="0"/>
                <w:lang w:val="ru-RU" w:bidi="ar-SA"/>
              </w:rPr>
              <w:t>8 (394) 227-70-21.</w:t>
            </w:r>
          </w:p>
        </w:tc>
      </w:tr>
      <w:tr>
        <w:trPr>
          <w:trHeight w:val="533" w:hRule="atLeast"/>
        </w:trPr>
        <w:tc>
          <w:tcPr>
            <w:tcW w:w="708" w:type="dxa"/>
            <w:vMerge w:val="restart"/>
            <w:tcBorders/>
          </w:tcPr>
          <w:p>
            <w:pPr>
              <w:pStyle w:val="Normal"/>
              <w:widowControl w:val="false"/>
              <w:tabs>
                <w:tab w:val="clear" w:pos="708"/>
                <w:tab w:val="left" w:pos="3960" w:leader="none"/>
              </w:tabs>
              <w:spacing w:before="0" w:after="0"/>
              <w:jc w:val="center"/>
              <w:rPr>
                <w:rFonts w:eastAsia="Lucida Sans Unicode"/>
                <w:lang w:eastAsia="ar-SA"/>
              </w:rPr>
            </w:pPr>
            <w:r>
              <w:rPr>
                <w:rFonts w:eastAsia="Lucida Sans Unicode"/>
                <w:kern w:val="0"/>
                <w:lang w:val="ru-RU" w:eastAsia="ar-SA" w:bidi="ar-SA"/>
              </w:rPr>
              <w:t>3</w:t>
            </w:r>
          </w:p>
        </w:tc>
        <w:tc>
          <w:tcPr>
            <w:tcW w:w="2269" w:type="dxa"/>
            <w:vMerge w:val="restart"/>
            <w:tcBorders/>
          </w:tcPr>
          <w:p>
            <w:pPr>
              <w:pStyle w:val="Normal"/>
              <w:widowControl w:val="false"/>
              <w:spacing w:before="0" w:after="0"/>
              <w:jc w:val="left"/>
              <w:rPr>
                <w:rFonts w:eastAsia="Lucida Sans Unicode"/>
                <w:sz w:val="18"/>
                <w:lang w:eastAsia="ar-SA"/>
              </w:rPr>
            </w:pPr>
            <w:r>
              <w:rPr>
                <w:rFonts w:eastAsia="Lucida Sans Unicode"/>
                <w:kern w:val="0"/>
                <w:sz w:val="18"/>
                <w:lang w:val="ru-RU" w:eastAsia="ar-SA" w:bidi="ar-SA"/>
              </w:rPr>
              <w:t>Предмет аукциона в электронной форме, начальная (минимальная) цена лота</w:t>
            </w:r>
          </w:p>
        </w:tc>
        <w:tc>
          <w:tcPr>
            <w:tcW w:w="566" w:type="dxa"/>
            <w:tcBorders/>
          </w:tcPr>
          <w:p>
            <w:pPr>
              <w:pStyle w:val="Normal"/>
              <w:widowControl/>
              <w:spacing w:before="0" w:after="0"/>
              <w:jc w:val="center"/>
              <w:rPr>
                <w:b/>
                <w:bCs/>
                <w:sz w:val="14"/>
                <w:lang w:eastAsia="ar-SA"/>
              </w:rPr>
            </w:pPr>
            <w:r>
              <w:rPr>
                <w:b/>
                <w:bCs/>
                <w:kern w:val="0"/>
                <w:sz w:val="14"/>
                <w:lang w:val="ru-RU" w:eastAsia="ar-SA" w:bidi="ar-SA"/>
              </w:rPr>
              <w:t>№</w:t>
            </w:r>
          </w:p>
          <w:p>
            <w:pPr>
              <w:pStyle w:val="Normal"/>
              <w:widowControl/>
              <w:spacing w:before="0" w:after="0"/>
              <w:jc w:val="center"/>
              <w:rPr>
                <w:b/>
                <w:bCs/>
                <w:sz w:val="14"/>
                <w:lang w:eastAsia="ar-SA"/>
              </w:rPr>
            </w:pPr>
            <w:r>
              <w:rPr>
                <w:b/>
                <w:bCs/>
                <w:kern w:val="0"/>
                <w:sz w:val="14"/>
                <w:lang w:val="ru-RU" w:eastAsia="ar-SA" w:bidi="ar-SA"/>
              </w:rPr>
              <w:t>лота</w:t>
            </w:r>
          </w:p>
        </w:tc>
        <w:tc>
          <w:tcPr>
            <w:tcW w:w="2978" w:type="dxa"/>
            <w:tcBorders/>
          </w:tcPr>
          <w:p>
            <w:pPr>
              <w:pStyle w:val="Normal"/>
              <w:widowControl/>
              <w:spacing w:before="0" w:after="0"/>
              <w:jc w:val="center"/>
              <w:rPr>
                <w:b/>
                <w:bCs/>
                <w:sz w:val="14"/>
                <w:lang w:eastAsia="ar-SA"/>
              </w:rPr>
            </w:pPr>
            <w:r>
              <w:rPr>
                <w:rFonts w:eastAsia="Lucida Sans Unicode"/>
                <w:b/>
                <w:kern w:val="0"/>
                <w:sz w:val="14"/>
                <w:lang w:val="ru-RU" w:eastAsia="ar-SA" w:bidi="ar-SA"/>
              </w:rPr>
              <w:t>Описание и характеристики имущества, его целевое назначение</w:t>
            </w:r>
          </w:p>
        </w:tc>
        <w:tc>
          <w:tcPr>
            <w:tcW w:w="850" w:type="dxa"/>
            <w:tcBorders/>
          </w:tcPr>
          <w:p>
            <w:pPr>
              <w:pStyle w:val="Normal"/>
              <w:widowControl/>
              <w:spacing w:before="0" w:after="0"/>
              <w:jc w:val="center"/>
              <w:rPr>
                <w:b/>
                <w:bCs/>
                <w:sz w:val="12"/>
                <w:lang w:eastAsia="ar-SA"/>
              </w:rPr>
            </w:pPr>
            <w:r>
              <w:rPr>
                <w:b/>
                <w:bCs/>
                <w:kern w:val="0"/>
                <w:sz w:val="12"/>
                <w:lang w:val="ru-RU" w:eastAsia="ar-SA" w:bidi="ar-SA"/>
              </w:rPr>
              <w:t>Количество (куб. м.)</w:t>
            </w:r>
          </w:p>
        </w:tc>
        <w:tc>
          <w:tcPr>
            <w:tcW w:w="1277" w:type="dxa"/>
            <w:tcBorders/>
          </w:tcPr>
          <w:p>
            <w:pPr>
              <w:pStyle w:val="Normal"/>
              <w:widowControl/>
              <w:spacing w:before="0" w:after="0"/>
              <w:jc w:val="center"/>
              <w:rPr>
                <w:b/>
                <w:bCs/>
                <w:sz w:val="14"/>
                <w:lang w:eastAsia="ar-SA"/>
              </w:rPr>
            </w:pPr>
            <w:r>
              <w:rPr>
                <w:rFonts w:eastAsia="Lucida Sans Unicode"/>
                <w:b/>
                <w:kern w:val="0"/>
                <w:sz w:val="14"/>
                <w:lang w:val="ru-RU" w:eastAsia="ar-SA" w:bidi="ar-SA"/>
              </w:rPr>
              <w:t xml:space="preserve">Начальная (минимальная) цена лота (руб.) </w:t>
            </w:r>
            <w:r>
              <w:rPr>
                <w:rFonts w:eastAsia="Lucida Sans Unicode"/>
                <w:b/>
                <w:kern w:val="0"/>
                <w:sz w:val="14"/>
                <w:u w:val="single"/>
                <w:lang w:val="ru-RU" w:eastAsia="ar-SA" w:bidi="ar-SA"/>
              </w:rPr>
              <w:t>(с учетом НДС)</w:t>
            </w:r>
          </w:p>
        </w:tc>
        <w:tc>
          <w:tcPr>
            <w:tcW w:w="991" w:type="dxa"/>
            <w:tcBorders/>
          </w:tcPr>
          <w:p>
            <w:pPr>
              <w:pStyle w:val="Normal"/>
              <w:widowControl/>
              <w:spacing w:before="0" w:after="0"/>
              <w:jc w:val="center"/>
              <w:rPr>
                <w:b/>
                <w:bCs/>
                <w:sz w:val="14"/>
                <w:lang w:eastAsia="ar-SA"/>
              </w:rPr>
            </w:pPr>
            <w:r>
              <w:rPr>
                <w:b/>
                <w:bCs/>
                <w:kern w:val="0"/>
                <w:sz w:val="14"/>
                <w:lang w:val="ru-RU" w:eastAsia="ar-SA" w:bidi="ar-SA"/>
              </w:rPr>
              <w:t>Размер Задатка по лоту-10% (руб.)</w:t>
            </w:r>
          </w:p>
        </w:tc>
        <w:tc>
          <w:tcPr>
            <w:tcW w:w="1133" w:type="dxa"/>
            <w:tcBorders/>
          </w:tcPr>
          <w:p>
            <w:pPr>
              <w:pStyle w:val="Normal"/>
              <w:widowControl/>
              <w:spacing w:before="0" w:after="0"/>
              <w:jc w:val="center"/>
              <w:rPr>
                <w:b/>
                <w:bCs/>
                <w:sz w:val="14"/>
                <w:szCs w:val="14"/>
                <w:lang w:eastAsia="ar-SA"/>
              </w:rPr>
            </w:pPr>
            <w:r>
              <w:rPr>
                <w:b/>
                <w:bCs/>
                <w:color w:themeColor="text1" w:themeTint="f2" w:val="0D0D0D"/>
                <w:kern w:val="0"/>
                <w:sz w:val="14"/>
                <w:szCs w:val="14"/>
                <w:lang w:val="ru-RU" w:eastAsia="ar-SA" w:bidi="ar-SA"/>
              </w:rPr>
              <w:t>Шаг аукциона (не более 5% начальной цены лота), руб.</w:t>
            </w:r>
          </w:p>
        </w:tc>
      </w:tr>
      <w:tr>
        <w:trPr>
          <w:trHeight w:val="533" w:hRule="atLeast"/>
        </w:trPr>
        <w:tc>
          <w:tcPr>
            <w:tcW w:w="708" w:type="dxa"/>
            <w:vMerge w:val="continue"/>
            <w:tcBorders/>
          </w:tcPr>
          <w:p>
            <w:pPr>
              <w:pStyle w:val="Normal"/>
              <w:widowControl w:val="false"/>
              <w:tabs>
                <w:tab w:val="clear" w:pos="708"/>
                <w:tab w:val="left" w:pos="3960" w:leader="none"/>
              </w:tabs>
              <w:spacing w:before="0" w:after="0"/>
              <w:jc w:val="center"/>
              <w:rPr>
                <w:rFonts w:eastAsia="Lucida Sans Unicode"/>
                <w:lang w:eastAsia="ar-SA"/>
              </w:rPr>
            </w:pPr>
            <w:r>
              <w:rPr>
                <w:rFonts w:eastAsia="Lucida Sans Unicode"/>
                <w:kern w:val="0"/>
                <w:lang w:val="ru-RU" w:eastAsia="ar-SA" w:bidi="ar-SA"/>
              </w:rPr>
            </w:r>
          </w:p>
        </w:tc>
        <w:tc>
          <w:tcPr>
            <w:tcW w:w="2269" w:type="dxa"/>
            <w:vMerge w:val="continue"/>
            <w:tcBorders/>
          </w:tcPr>
          <w:p>
            <w:pPr>
              <w:pStyle w:val="Normal"/>
              <w:widowControl w:val="false"/>
              <w:spacing w:before="0" w:after="0"/>
              <w:jc w:val="both"/>
              <w:rPr>
                <w:rFonts w:eastAsia="Lucida Sans Unicode"/>
                <w:lang w:eastAsia="ar-SA"/>
              </w:rPr>
            </w:pPr>
            <w:r>
              <w:rPr>
                <w:rFonts w:eastAsia="Lucida Sans Unicode"/>
                <w:kern w:val="0"/>
                <w:lang w:val="ru-RU" w:eastAsia="ar-SA" w:bidi="ar-SA"/>
              </w:rPr>
            </w:r>
          </w:p>
        </w:tc>
        <w:tc>
          <w:tcPr>
            <w:tcW w:w="566" w:type="dxa"/>
            <w:tcBorders/>
          </w:tcPr>
          <w:p>
            <w:pPr>
              <w:pStyle w:val="Normal"/>
              <w:widowControl/>
              <w:spacing w:before="0" w:after="0"/>
              <w:jc w:val="center"/>
              <w:rPr>
                <w:b/>
                <w:bCs/>
                <w:sz w:val="18"/>
                <w:szCs w:val="18"/>
                <w:lang w:eastAsia="ar-SA"/>
              </w:rPr>
            </w:pPr>
            <w:r>
              <w:rPr>
                <w:b/>
                <w:bCs/>
                <w:kern w:val="0"/>
                <w:sz w:val="18"/>
                <w:szCs w:val="18"/>
                <w:lang w:val="ru-RU" w:eastAsia="ar-SA" w:bidi="ar-SA"/>
              </w:rPr>
              <w:t>1</w:t>
            </w:r>
          </w:p>
        </w:tc>
        <w:tc>
          <w:tcPr>
            <w:tcW w:w="2978" w:type="dxa"/>
            <w:tcBorders/>
            <w:vAlign w:val="center"/>
          </w:tcPr>
          <w:p>
            <w:pPr>
              <w:pStyle w:val="Normal"/>
              <w:widowControl/>
              <w:spacing w:before="0" w:after="0"/>
              <w:jc w:val="center"/>
              <w:rPr>
                <w:rFonts w:eastAsia="Calibri"/>
                <w:b/>
                <w:bCs/>
                <w:color w:val="000000"/>
                <w:sz w:val="24"/>
                <w:szCs w:val="24"/>
              </w:rPr>
            </w:pPr>
            <w:r>
              <w:rPr>
                <w:rFonts w:eastAsia="Calibri"/>
                <w:b/>
                <w:bCs/>
                <w:color w:val="000000"/>
                <w:kern w:val="0"/>
                <w:sz w:val="24"/>
                <w:szCs w:val="24"/>
                <w:lang w:val="ru-RU" w:bidi="ar-SA"/>
              </w:rPr>
              <w:t>Древесина породы «лиственница»</w:t>
            </w:r>
          </w:p>
          <w:p>
            <w:pPr>
              <w:pStyle w:val="Normal"/>
              <w:widowControl/>
              <w:spacing w:before="0" w:after="0"/>
              <w:jc w:val="center"/>
              <w:rPr>
                <w:rFonts w:eastAsia="Calibri"/>
                <w:color w:val="000000"/>
                <w:sz w:val="24"/>
                <w:szCs w:val="24"/>
                <w:highlight w:val="none"/>
              </w:rPr>
            </w:pPr>
            <w:r>
              <w:rPr>
                <w:rFonts w:eastAsia="Calibri"/>
                <w:bCs/>
                <w:color w:val="000000"/>
                <w:kern w:val="0"/>
                <w:sz w:val="24"/>
                <w:szCs w:val="24"/>
                <w:lang w:val="ru-RU" w:bidi="ar-SA"/>
              </w:rPr>
              <w:t>бревно - 1 шт.</w:t>
            </w:r>
          </w:p>
          <w:p>
            <w:pPr>
              <w:pStyle w:val="Normal"/>
              <w:widowControl/>
              <w:spacing w:before="0" w:after="0"/>
              <w:jc w:val="center"/>
              <w:rPr>
                <w:rFonts w:eastAsia="Calibri"/>
                <w:color w:val="000000"/>
                <w:highlight w:val="none"/>
              </w:rPr>
            </w:pPr>
            <w:r>
              <w:rPr>
                <w:rFonts w:eastAsia="Calibri"/>
                <w:bCs/>
                <w:color w:val="000000"/>
                <w:kern w:val="0"/>
                <w:lang w:val="ru-RU" w:bidi="ar-SA"/>
              </w:rPr>
              <w:t>диаметр 220 мм, длина 6м. (обрезаны на 4 части).</w:t>
            </w:r>
          </w:p>
          <w:p>
            <w:pPr>
              <w:pStyle w:val="Normal"/>
              <w:widowControl/>
              <w:spacing w:before="0" w:after="0"/>
              <w:jc w:val="center"/>
              <w:rPr>
                <w:rFonts w:eastAsia="Calibri"/>
                <w:color w:val="000000"/>
              </w:rPr>
            </w:pPr>
            <w:r>
              <w:rPr>
                <w:rFonts w:eastAsia="Calibri"/>
                <w:color w:val="000000"/>
                <w:kern w:val="0"/>
                <w:lang w:val="ru-RU" w:bidi="ar-SA"/>
              </w:rPr>
            </w:r>
          </w:p>
        </w:tc>
        <w:tc>
          <w:tcPr>
            <w:tcW w:w="850" w:type="dxa"/>
            <w:tcBorders/>
            <w:vAlign w:val="center"/>
          </w:tcPr>
          <w:p>
            <w:pPr>
              <w:pStyle w:val="Normal"/>
              <w:widowControl/>
              <w:spacing w:before="0" w:after="0"/>
              <w:jc w:val="center"/>
              <w:rPr>
                <w:color w:val="000000"/>
                <w:sz w:val="22"/>
                <w:szCs w:val="22"/>
              </w:rPr>
            </w:pPr>
            <w:r>
              <w:rPr>
                <w:kern w:val="0"/>
                <w:sz w:val="22"/>
                <w:szCs w:val="22"/>
                <w:lang w:val="ru-RU" w:bidi="ar-SA"/>
              </w:rPr>
              <w:t>0,689</w:t>
            </w:r>
          </w:p>
        </w:tc>
        <w:tc>
          <w:tcPr>
            <w:tcW w:w="1277" w:type="dxa"/>
            <w:tcBorders/>
            <w:vAlign w:val="center"/>
          </w:tcPr>
          <w:p>
            <w:pPr>
              <w:pStyle w:val="Normal"/>
              <w:widowControl/>
              <w:spacing w:before="0" w:after="0"/>
              <w:jc w:val="center"/>
              <w:rPr>
                <w:b/>
                <w:sz w:val="22"/>
                <w:szCs w:val="22"/>
              </w:rPr>
            </w:pPr>
            <w:r>
              <w:rPr>
                <w:b/>
                <w:color w:val="000000"/>
                <w:kern w:val="0"/>
                <w:sz w:val="22"/>
                <w:szCs w:val="22"/>
                <w:lang w:val="ru-RU" w:bidi="ar-SA"/>
              </w:rPr>
              <w:t>4</w:t>
            </w:r>
            <w:r>
              <w:rPr>
                <w:b/>
                <w:color w:val="000000"/>
                <w:kern w:val="0"/>
                <w:sz w:val="22"/>
                <w:szCs w:val="22"/>
                <w:lang w:val="ru-RU" w:bidi="ar-SA"/>
              </w:rPr>
              <w:t xml:space="preserve"> </w:t>
            </w:r>
            <w:r>
              <w:rPr>
                <w:b/>
                <w:color w:val="000000"/>
                <w:kern w:val="0"/>
                <w:sz w:val="22"/>
                <w:szCs w:val="22"/>
                <w:lang w:val="ru-RU" w:bidi="ar-SA"/>
              </w:rPr>
              <w:t>960</w:t>
            </w:r>
            <w:r>
              <w:rPr>
                <w:b/>
                <w:color w:val="000000"/>
                <w:kern w:val="0"/>
                <w:sz w:val="22"/>
                <w:szCs w:val="22"/>
                <w:lang w:val="ru-RU" w:bidi="ar-SA"/>
              </w:rPr>
              <w:t>,</w:t>
            </w:r>
            <w:r>
              <w:rPr>
                <w:b/>
                <w:color w:val="000000"/>
                <w:kern w:val="0"/>
                <w:sz w:val="22"/>
                <w:szCs w:val="22"/>
                <w:lang w:val="ru-RU" w:bidi="ar-SA"/>
              </w:rPr>
              <w:t>8</w:t>
            </w:r>
            <w:r>
              <w:rPr>
                <w:b/>
                <w:color w:val="000000"/>
                <w:kern w:val="0"/>
                <w:sz w:val="22"/>
                <w:szCs w:val="22"/>
                <w:lang w:val="ru-RU" w:bidi="ar-SA"/>
              </w:rPr>
              <w:t>0</w:t>
            </w:r>
          </w:p>
          <w:p>
            <w:pPr>
              <w:pStyle w:val="Normal"/>
              <w:widowControl/>
              <w:spacing w:before="0" w:after="0"/>
              <w:jc w:val="center"/>
              <w:rPr>
                <w:color w:val="000000"/>
                <w:sz w:val="18"/>
                <w:szCs w:val="18"/>
              </w:rPr>
            </w:pPr>
            <w:r>
              <w:rPr>
                <w:color w:val="000000"/>
                <w:kern w:val="0"/>
                <w:lang w:val="ru-RU" w:bidi="ar-SA"/>
              </w:rPr>
              <w:t>с учетом НДС</w:t>
            </w:r>
          </w:p>
        </w:tc>
        <w:tc>
          <w:tcPr>
            <w:tcW w:w="991" w:type="dxa"/>
            <w:tcBorders/>
            <w:vAlign w:val="center"/>
          </w:tcPr>
          <w:p>
            <w:pPr>
              <w:pStyle w:val="Normal"/>
              <w:widowControl/>
              <w:spacing w:before="0" w:after="0"/>
              <w:jc w:val="center"/>
              <w:rPr>
                <w:color w:val="000000"/>
                <w:sz w:val="18"/>
                <w:szCs w:val="18"/>
              </w:rPr>
            </w:pPr>
            <w:r>
              <w:rPr>
                <w:color w:val="000000"/>
                <w:kern w:val="0"/>
                <w:sz w:val="18"/>
                <w:szCs w:val="18"/>
                <w:lang w:val="ru-RU" w:bidi="ar-SA"/>
              </w:rPr>
              <w:t>496</w:t>
            </w:r>
            <w:r>
              <w:rPr>
                <w:color w:val="000000"/>
                <w:kern w:val="0"/>
                <w:sz w:val="18"/>
                <w:szCs w:val="18"/>
                <w:lang w:val="ru-RU" w:bidi="ar-SA"/>
              </w:rPr>
              <w:t>,</w:t>
            </w:r>
            <w:r>
              <w:rPr>
                <w:color w:val="000000"/>
                <w:kern w:val="0"/>
                <w:sz w:val="18"/>
                <w:szCs w:val="18"/>
                <w:lang w:val="ru-RU" w:bidi="ar-SA"/>
              </w:rPr>
              <w:t>00</w:t>
            </w:r>
          </w:p>
        </w:tc>
        <w:tc>
          <w:tcPr>
            <w:tcW w:w="1133" w:type="dxa"/>
            <w:tcBorders/>
            <w:vAlign w:val="center"/>
          </w:tcPr>
          <w:p>
            <w:pPr>
              <w:pStyle w:val="Normal"/>
              <w:widowControl/>
              <w:spacing w:before="0" w:after="0"/>
              <w:jc w:val="center"/>
              <w:rPr>
                <w:color w:val="000000"/>
                <w:sz w:val="18"/>
                <w:szCs w:val="18"/>
              </w:rPr>
            </w:pPr>
            <w:r>
              <w:rPr>
                <w:color w:val="000000"/>
                <w:kern w:val="0"/>
                <w:sz w:val="18"/>
                <w:szCs w:val="18"/>
                <w:lang w:val="ru-RU" w:bidi="ar-SA"/>
              </w:rPr>
              <w:t>248,</w:t>
            </w:r>
            <w:r>
              <w:rPr>
                <w:color w:val="000000"/>
                <w:kern w:val="0"/>
                <w:sz w:val="18"/>
                <w:szCs w:val="18"/>
                <w:lang w:val="ru-RU" w:bidi="ar-SA"/>
              </w:rPr>
              <w:t>00</w:t>
            </w:r>
          </w:p>
        </w:tc>
      </w:tr>
      <w:tr>
        <w:trPr>
          <w:trHeight w:val="533" w:hRule="atLeast"/>
        </w:trPr>
        <w:tc>
          <w:tcPr>
            <w:tcW w:w="708" w:type="dxa"/>
            <w:vMerge w:val="continue"/>
            <w:tcBorders/>
          </w:tcPr>
          <w:p>
            <w:pPr>
              <w:pStyle w:val="Normal"/>
              <w:widowControl w:val="false"/>
              <w:tabs>
                <w:tab w:val="clear" w:pos="708"/>
                <w:tab w:val="left" w:pos="3960" w:leader="none"/>
              </w:tabs>
              <w:spacing w:before="0" w:after="0"/>
              <w:jc w:val="center"/>
              <w:rPr>
                <w:rFonts w:eastAsia="Lucida Sans Unicode"/>
                <w:lang w:eastAsia="ar-SA"/>
              </w:rPr>
            </w:pPr>
            <w:r>
              <w:rPr>
                <w:rFonts w:eastAsia="Lucida Sans Unicode"/>
                <w:kern w:val="0"/>
                <w:lang w:val="ru-RU" w:eastAsia="ar-SA" w:bidi="ar-SA"/>
              </w:rPr>
            </w:r>
          </w:p>
        </w:tc>
        <w:tc>
          <w:tcPr>
            <w:tcW w:w="2269" w:type="dxa"/>
            <w:vMerge w:val="continue"/>
            <w:tcBorders/>
          </w:tcPr>
          <w:p>
            <w:pPr>
              <w:pStyle w:val="Normal"/>
              <w:widowControl w:val="false"/>
              <w:spacing w:before="0" w:after="0"/>
              <w:jc w:val="both"/>
              <w:rPr>
                <w:rFonts w:eastAsia="Lucida Sans Unicode"/>
                <w:lang w:eastAsia="ar-SA"/>
              </w:rPr>
            </w:pPr>
            <w:r>
              <w:rPr>
                <w:rFonts w:eastAsia="Lucida Sans Unicode"/>
                <w:kern w:val="0"/>
                <w:lang w:val="ru-RU" w:eastAsia="ar-SA" w:bidi="ar-SA"/>
              </w:rPr>
            </w:r>
          </w:p>
        </w:tc>
        <w:tc>
          <w:tcPr>
            <w:tcW w:w="7795" w:type="dxa"/>
            <w:gridSpan w:val="6"/>
            <w:tcBorders/>
          </w:tcPr>
          <w:p>
            <w:pPr>
              <w:pStyle w:val="Normal"/>
              <w:widowControl/>
              <w:spacing w:before="0" w:after="0"/>
              <w:jc w:val="center"/>
              <w:rPr>
                <w:bCs/>
                <w:color w:themeColor="text1" w:themeTint="f2" w:val="0D0D0D"/>
                <w:spacing w:val="-6"/>
                <w:sz w:val="22"/>
                <w:szCs w:val="22"/>
                <w:u w:val="single"/>
                <w:lang w:eastAsia="ar-SA"/>
              </w:rPr>
            </w:pPr>
            <w:r>
              <w:rPr>
                <w:bCs/>
                <w:color w:themeColor="text1" w:themeTint="f2" w:val="0D0D0D"/>
                <w:spacing w:val="-6"/>
                <w:kern w:val="0"/>
                <w:sz w:val="22"/>
                <w:szCs w:val="22"/>
                <w:u w:val="single"/>
                <w:lang w:val="ru-RU" w:eastAsia="ar-SA" w:bidi="ar-SA"/>
              </w:rPr>
              <w:t>Местонахождение имущества: Республика Тыва, Каа-Хемский район,</w:t>
            </w:r>
          </w:p>
          <w:p>
            <w:pPr>
              <w:pStyle w:val="Normal"/>
              <w:widowControl/>
              <w:spacing w:before="0" w:after="0"/>
              <w:jc w:val="center"/>
              <w:rPr>
                <w:bCs/>
                <w:color w:themeColor="text1" w:themeTint="f2" w:val="0D0D0D"/>
                <w:spacing w:val="-6"/>
                <w:sz w:val="22"/>
                <w:szCs w:val="22"/>
                <w:u w:val="single"/>
                <w:lang w:eastAsia="ar-SA"/>
              </w:rPr>
            </w:pPr>
            <w:r>
              <w:rPr>
                <w:bCs/>
                <w:color w:themeColor="text1" w:themeTint="f2" w:val="0D0D0D"/>
                <w:spacing w:val="-6"/>
                <w:kern w:val="0"/>
                <w:sz w:val="22"/>
                <w:szCs w:val="22"/>
                <w:u w:val="single"/>
                <w:lang w:val="ru-RU" w:eastAsia="ar-SA" w:bidi="ar-SA"/>
              </w:rPr>
              <w:t>с. Сарыг-Сеп, ул. Енисейская д. 176.</w:t>
            </w:r>
            <w:r>
              <w:rPr>
                <w:bCs/>
                <w:color w:themeColor="text1" w:themeTint="f2" w:val="0D0D0D"/>
                <w:spacing w:val="-6"/>
                <w:kern w:val="0"/>
                <w:sz w:val="22"/>
                <w:szCs w:val="22"/>
                <w:lang w:val="ru-RU" w:eastAsia="ar-SA" w:bidi="ar-SA"/>
              </w:rPr>
              <w:t xml:space="preserve"> (</w:t>
            </w:r>
            <w:r>
              <w:rPr>
                <w:kern w:val="0"/>
                <w:sz w:val="22"/>
                <w:szCs w:val="22"/>
                <w:lang w:val="ru-RU" w:bidi="ar-SA"/>
              </w:rPr>
              <w:t>на территории пункта полиции ОП №6</w:t>
            </w:r>
            <w:r>
              <w:rPr>
                <w:bCs/>
                <w:color w:themeColor="text1" w:themeTint="f2" w:val="0D0D0D"/>
                <w:spacing w:val="-6"/>
                <w:kern w:val="0"/>
                <w:sz w:val="22"/>
                <w:szCs w:val="22"/>
                <w:lang w:val="ru-RU" w:eastAsia="ar-SA" w:bidi="ar-SA"/>
              </w:rPr>
              <w:t>).</w:t>
            </w:r>
          </w:p>
          <w:p>
            <w:pPr>
              <w:pStyle w:val="Normal"/>
              <w:widowControl w:val="false"/>
              <w:spacing w:before="0" w:after="0"/>
              <w:jc w:val="both"/>
              <w:rPr>
                <w:sz w:val="22"/>
                <w:szCs w:val="22"/>
                <w:lang w:eastAsia="ar-SA"/>
              </w:rPr>
            </w:pPr>
            <w:r>
              <w:rPr>
                <w:kern w:val="0"/>
                <w:sz w:val="18"/>
                <w:lang w:val="ru-RU" w:eastAsia="ar-SA" w:bidi="ar-SA"/>
              </w:rPr>
              <w:t xml:space="preserve">            </w:t>
            </w:r>
            <w:r>
              <w:rPr>
                <w:kern w:val="0"/>
                <w:sz w:val="22"/>
                <w:szCs w:val="22"/>
                <w:lang w:val="ru-RU" w:eastAsia="ar-SA" w:bidi="ar-SA"/>
              </w:rPr>
              <w:t xml:space="preserve">Осмотр имущества проводится по адресу нахождения имущества по телефону </w:t>
            </w:r>
            <w:r>
              <w:rPr>
                <w:b/>
                <w:kern w:val="0"/>
                <w:sz w:val="22"/>
                <w:szCs w:val="22"/>
                <w:lang w:val="ru-RU" w:eastAsia="ar-SA" w:bidi="ar-SA"/>
              </w:rPr>
              <w:t>8-983-593-29-25</w:t>
            </w:r>
            <w:r>
              <w:rPr>
                <w:kern w:val="0"/>
                <w:sz w:val="22"/>
                <w:szCs w:val="22"/>
                <w:lang w:val="ru-RU" w:eastAsia="ar-SA" w:bidi="ar-SA"/>
              </w:rPr>
              <w:t xml:space="preserve"> </w:t>
            </w:r>
            <w:r>
              <w:rPr>
                <w:kern w:val="0"/>
                <w:sz w:val="22"/>
                <w:szCs w:val="22"/>
                <w:u w:val="single"/>
                <w:lang w:val="ru-RU" w:eastAsia="ar-SA" w:bidi="ar-SA"/>
              </w:rPr>
              <w:t>в период срока подачи заявок (</w:t>
            </w:r>
            <w:r>
              <w:rPr>
                <w:b/>
                <w:kern w:val="0"/>
                <w:sz w:val="22"/>
                <w:szCs w:val="22"/>
                <w:u w:val="single"/>
                <w:lang w:val="ru-RU" w:eastAsia="ar-SA" w:bidi="ar-SA"/>
              </w:rPr>
              <w:t>до даты проведения аукциона</w:t>
            </w:r>
            <w:r>
              <w:rPr>
                <w:kern w:val="0"/>
                <w:sz w:val="22"/>
                <w:szCs w:val="22"/>
                <w:u w:val="single"/>
                <w:lang w:val="ru-RU" w:eastAsia="ar-SA" w:bidi="ar-SA"/>
              </w:rPr>
              <w:t>)</w:t>
            </w:r>
            <w:r>
              <w:rPr>
                <w:kern w:val="0"/>
                <w:sz w:val="22"/>
                <w:szCs w:val="22"/>
                <w:lang w:val="ru-RU" w:eastAsia="ar-SA" w:bidi="ar-SA"/>
              </w:rPr>
              <w:t xml:space="preserve"> в рабочие дни и рабочее время.</w:t>
            </w:r>
          </w:p>
          <w:p>
            <w:pPr>
              <w:pStyle w:val="Normal"/>
              <w:widowControl/>
              <w:spacing w:before="0" w:after="0"/>
              <w:jc w:val="center"/>
              <w:rPr>
                <w:sz w:val="22"/>
                <w:szCs w:val="22"/>
                <w:lang w:eastAsia="ar-SA"/>
              </w:rPr>
            </w:pPr>
            <w:r>
              <w:rPr>
                <w:kern w:val="0"/>
                <w:sz w:val="22"/>
                <w:szCs w:val="22"/>
                <w:lang w:val="ru-RU" w:eastAsia="ar-SA" w:bidi="ar-SA"/>
              </w:rPr>
              <w:t>Лицо ответственное за обеспечение доступа к осмотру имущества</w:t>
            </w:r>
          </w:p>
          <w:p>
            <w:pPr>
              <w:pStyle w:val="Normal"/>
              <w:widowControl/>
              <w:spacing w:before="0" w:after="0"/>
              <w:jc w:val="center"/>
              <w:rPr>
                <w:sz w:val="22"/>
                <w:szCs w:val="22"/>
                <w:lang w:eastAsia="ar-SA"/>
              </w:rPr>
            </w:pPr>
            <w:r>
              <w:rPr>
                <w:kern w:val="0"/>
                <w:sz w:val="22"/>
                <w:szCs w:val="22"/>
                <w:lang w:val="ru-RU" w:eastAsia="ar-SA" w:bidi="ar-SA"/>
              </w:rPr>
              <w:t xml:space="preserve">– </w:t>
            </w:r>
            <w:r>
              <w:rPr>
                <w:b/>
                <w:kern w:val="0"/>
                <w:sz w:val="22"/>
                <w:szCs w:val="22"/>
                <w:lang w:val="ru-RU" w:eastAsia="ar-SA" w:bidi="ar-SA"/>
              </w:rPr>
              <w:t xml:space="preserve"> </w:t>
            </w:r>
            <w:r>
              <w:rPr>
                <w:b/>
                <w:kern w:val="0"/>
                <w:sz w:val="22"/>
                <w:szCs w:val="22"/>
                <w:lang w:val="ru-RU" w:eastAsia="ar-SA" w:bidi="ar-SA"/>
              </w:rPr>
              <w:t xml:space="preserve">Дангыт Яна Александровна </w:t>
            </w:r>
            <w:r>
              <w:rPr>
                <w:kern w:val="0"/>
                <w:sz w:val="22"/>
                <w:szCs w:val="22"/>
                <w:lang w:val="ru-RU" w:eastAsia="ar-SA" w:bidi="ar-SA"/>
              </w:rPr>
              <w:t>– начальник ГД ОП № 6 майор полиции</w:t>
            </w:r>
          </w:p>
          <w:p>
            <w:pPr>
              <w:pStyle w:val="Normal"/>
              <w:widowControl/>
              <w:spacing w:before="0" w:after="0"/>
              <w:jc w:val="center"/>
              <w:rPr>
                <w:sz w:val="22"/>
                <w:szCs w:val="22"/>
                <w:lang w:eastAsia="ar-SA"/>
              </w:rPr>
            </w:pPr>
            <w:r>
              <w:rPr>
                <w:kern w:val="0"/>
                <w:sz w:val="22"/>
                <w:szCs w:val="22"/>
                <w:lang w:val="ru-RU" w:eastAsia="ar-SA" w:bidi="ar-SA"/>
              </w:rPr>
              <w:t xml:space="preserve">                                                            </w:t>
            </w:r>
            <w:r>
              <w:rPr>
                <w:kern w:val="0"/>
                <w:sz w:val="22"/>
                <w:szCs w:val="22"/>
                <w:lang w:val="ru-RU" w:bidi="ar-SA"/>
              </w:rPr>
              <w:t>МО</w:t>
            </w:r>
            <w:r>
              <w:rPr>
                <w:kern w:val="0"/>
                <w:sz w:val="24"/>
                <w:szCs w:val="24"/>
                <w:lang w:val="ru-RU" w:bidi="ar-SA"/>
              </w:rPr>
              <w:t xml:space="preserve"> </w:t>
            </w:r>
            <w:r>
              <w:rPr>
                <w:kern w:val="0"/>
                <w:sz w:val="22"/>
                <w:szCs w:val="22"/>
                <w:lang w:val="ru-RU" w:bidi="ar-SA"/>
              </w:rPr>
              <w:t>МВД России «Кызылский»</w:t>
            </w:r>
            <w:r>
              <w:rPr>
                <w:kern w:val="0"/>
                <w:sz w:val="22"/>
                <w:szCs w:val="22"/>
                <w:lang w:val="ru-RU" w:eastAsia="ar-SA" w:bidi="ar-SA"/>
              </w:rPr>
              <w:t>.</w:t>
            </w:r>
          </w:p>
          <w:p>
            <w:pPr>
              <w:pStyle w:val="Normal"/>
              <w:widowControl/>
              <w:spacing w:before="0" w:after="0"/>
              <w:jc w:val="center"/>
              <w:rPr>
                <w:sz w:val="16"/>
                <w:szCs w:val="16"/>
                <w:lang w:eastAsia="ar-SA"/>
              </w:rPr>
            </w:pPr>
            <w:r>
              <w:rPr>
                <w:kern w:val="0"/>
                <w:sz w:val="16"/>
                <w:szCs w:val="16"/>
                <w:lang w:val="ru-RU" w:eastAsia="ar-SA" w:bidi="ar-SA"/>
              </w:rPr>
            </w:r>
          </w:p>
        </w:tc>
      </w:tr>
      <w:tr>
        <w:trPr>
          <w:trHeight w:val="655" w:hRule="atLeast"/>
        </w:trPr>
        <w:tc>
          <w:tcPr>
            <w:tcW w:w="708" w:type="dxa"/>
            <w:vMerge w:val="continue"/>
            <w:tcBorders/>
          </w:tcPr>
          <w:p>
            <w:pPr>
              <w:pStyle w:val="Normal"/>
              <w:widowControl w:val="false"/>
              <w:tabs>
                <w:tab w:val="clear" w:pos="708"/>
                <w:tab w:val="left" w:pos="3960" w:leader="none"/>
              </w:tabs>
              <w:spacing w:before="0" w:after="0"/>
              <w:jc w:val="center"/>
              <w:rPr>
                <w:rFonts w:eastAsia="Lucida Sans Unicode"/>
                <w:lang w:eastAsia="ar-SA"/>
              </w:rPr>
            </w:pPr>
            <w:r>
              <w:rPr>
                <w:rFonts w:eastAsia="Lucida Sans Unicode"/>
                <w:kern w:val="0"/>
                <w:lang w:val="ru-RU" w:eastAsia="ar-SA" w:bidi="ar-SA"/>
              </w:rPr>
            </w:r>
          </w:p>
        </w:tc>
        <w:tc>
          <w:tcPr>
            <w:tcW w:w="2269" w:type="dxa"/>
            <w:vMerge w:val="continue"/>
            <w:tcBorders/>
          </w:tcPr>
          <w:p>
            <w:pPr>
              <w:pStyle w:val="Normal"/>
              <w:widowControl w:val="false"/>
              <w:spacing w:before="0" w:after="0"/>
              <w:jc w:val="both"/>
              <w:rPr>
                <w:rFonts w:eastAsia="Lucida Sans Unicode"/>
                <w:lang w:eastAsia="ar-SA"/>
              </w:rPr>
            </w:pPr>
            <w:r>
              <w:rPr>
                <w:rFonts w:eastAsia="Lucida Sans Unicode"/>
                <w:kern w:val="0"/>
                <w:lang w:val="ru-RU" w:eastAsia="ar-SA" w:bidi="ar-SA"/>
              </w:rPr>
            </w:r>
          </w:p>
        </w:tc>
        <w:tc>
          <w:tcPr>
            <w:tcW w:w="7795" w:type="dxa"/>
            <w:gridSpan w:val="6"/>
            <w:tcBorders/>
          </w:tcPr>
          <w:p>
            <w:pPr>
              <w:pStyle w:val="Normal"/>
              <w:widowControl/>
              <w:spacing w:before="0" w:after="0"/>
              <w:jc w:val="both"/>
              <w:rPr>
                <w:sz w:val="18"/>
                <w:szCs w:val="18"/>
              </w:rPr>
            </w:pPr>
            <w:r>
              <w:rPr>
                <w:bCs/>
                <w:kern w:val="0"/>
                <w:sz w:val="18"/>
                <w:lang w:val="ru-RU" w:eastAsia="ar-SA" w:bidi="ar-SA"/>
              </w:rPr>
              <w:t xml:space="preserve">            </w:t>
            </w:r>
            <w:r>
              <w:rPr>
                <w:kern w:val="0"/>
                <w:sz w:val="18"/>
                <w:szCs w:val="18"/>
                <w:u w:val="single"/>
                <w:lang w:val="ru-RU" w:bidi="ar-SA"/>
              </w:rPr>
              <w:t>Дополнительная информация</w:t>
            </w:r>
            <w:r>
              <w:rPr>
                <w:kern w:val="0"/>
                <w:sz w:val="18"/>
                <w:szCs w:val="18"/>
                <w:lang w:val="ru-RU" w:bidi="ar-SA"/>
              </w:rPr>
              <w:t>:</w:t>
            </w:r>
          </w:p>
          <w:p>
            <w:pPr>
              <w:pStyle w:val="Normal"/>
              <w:widowControl/>
              <w:spacing w:before="0" w:after="0"/>
              <w:jc w:val="both"/>
              <w:rPr>
                <w:sz w:val="18"/>
                <w:szCs w:val="18"/>
              </w:rPr>
            </w:pPr>
            <w:r>
              <w:rPr>
                <w:kern w:val="0"/>
                <w:sz w:val="18"/>
                <w:szCs w:val="18"/>
                <w:u w:val="single"/>
                <w:lang w:val="ru-RU" w:bidi="ar-SA"/>
              </w:rPr>
              <w:t xml:space="preserve">   </w:t>
            </w:r>
            <w:r>
              <w:rPr>
                <w:kern w:val="0"/>
                <w:sz w:val="18"/>
                <w:szCs w:val="18"/>
                <w:u w:val="single"/>
                <w:lang w:val="ru-RU" w:bidi="ar-SA"/>
              </w:rPr>
              <w:t>Имущество находится на хранении длительный период времени</w:t>
            </w:r>
            <w:r>
              <w:rPr>
                <w:kern w:val="0"/>
                <w:sz w:val="18"/>
                <w:szCs w:val="18"/>
                <w:lang w:val="ru-RU" w:bidi="ar-SA"/>
              </w:rPr>
              <w:t>.</w:t>
            </w:r>
          </w:p>
          <w:p>
            <w:pPr>
              <w:pStyle w:val="Normal"/>
              <w:widowControl/>
              <w:spacing w:before="0" w:after="0"/>
              <w:jc w:val="both"/>
              <w:rPr>
                <w:sz w:val="18"/>
                <w:szCs w:val="18"/>
                <w:u w:val="single"/>
              </w:rPr>
            </w:pPr>
            <w:r>
              <w:rPr>
                <w:kern w:val="0"/>
                <w:sz w:val="18"/>
                <w:szCs w:val="18"/>
                <w:u w:val="single"/>
                <w:lang w:val="ru-RU" w:bidi="ar-SA"/>
              </w:rPr>
              <w:t>Имущество продается в том виде, комплектности и состоянии, в каком оно есть.</w:t>
            </w:r>
          </w:p>
          <w:p>
            <w:pPr>
              <w:pStyle w:val="Normal"/>
              <w:widowControl/>
              <w:spacing w:before="0" w:after="0"/>
              <w:jc w:val="both"/>
              <w:rPr>
                <w:sz w:val="18"/>
                <w:szCs w:val="18"/>
                <w:u w:val="single"/>
              </w:rPr>
            </w:pPr>
            <w:r>
              <w:rPr>
                <w:kern w:val="0"/>
                <w:sz w:val="18"/>
                <w:szCs w:val="18"/>
                <w:u w:val="single"/>
                <w:lang w:val="ru-RU" w:bidi="ar-SA"/>
              </w:rPr>
              <w:t>Продавец не несет ответственности за дефекты выявленные покупателем.</w:t>
            </w:r>
          </w:p>
          <w:p>
            <w:pPr>
              <w:pStyle w:val="Normal"/>
              <w:widowControl/>
              <w:spacing w:before="0" w:after="0"/>
              <w:jc w:val="both"/>
              <w:rPr>
                <w:sz w:val="18"/>
                <w:szCs w:val="18"/>
                <w:u w:val="single"/>
              </w:rPr>
            </w:pPr>
            <w:r>
              <w:rPr>
                <w:kern w:val="0"/>
                <w:sz w:val="18"/>
                <w:szCs w:val="18"/>
                <w:u w:val="single"/>
                <w:lang w:val="ru-RU" w:bidi="ar-SA"/>
              </w:rPr>
              <w:t>Проданное имущество обмену и возврату не подлежит.</w:t>
            </w:r>
          </w:p>
          <w:p>
            <w:pPr>
              <w:pStyle w:val="Normal"/>
              <w:widowControl/>
              <w:spacing w:before="0" w:after="0"/>
              <w:jc w:val="both"/>
              <w:rPr>
                <w:bCs/>
                <w:sz w:val="18"/>
                <w:lang w:eastAsia="ar-SA"/>
              </w:rPr>
            </w:pPr>
            <w:r>
              <w:rPr>
                <w:bCs/>
                <w:kern w:val="0"/>
                <w:sz w:val="18"/>
                <w:lang w:val="ru-RU" w:eastAsia="ar-SA" w:bidi="ar-SA"/>
              </w:rPr>
              <w:t xml:space="preserve">            </w:t>
            </w:r>
            <w:r>
              <w:rPr>
                <w:bCs/>
                <w:kern w:val="0"/>
                <w:sz w:val="18"/>
                <w:lang w:val="ru-RU" w:eastAsia="ar-SA" w:bidi="ar-SA"/>
              </w:rPr>
              <w:t>Аукцион в электронной форме проводится в соответствии с Постановлением Правительства Российской Федерации от 30.09.2015 № 1041 (ред. от 19 июня 2021 г.) «О реализации имущества, обращенного в собственность государства, вещественных доказательств, изъятых вещей, а также задержанных таможенными органами товаров и о внесении изменения в постановление Правительства Российской Федерации от 10 сентября 2012 г. N 909», постановлением Правительства Российской Федерации от 19.06.2021 № 944 «О внесении изменений в некоторые акты Правительства РФ по вопросу совершенствования реализации имущества, обращенного в собственность государства, изъятых вещей, а также товаров, задержанных таможенными органами, и признании утратившими силу отдельных положений некоторых актов Правительства Российской Федерации».</w:t>
            </w:r>
          </w:p>
        </w:tc>
      </w:tr>
      <w:tr>
        <w:trPr>
          <w:trHeight w:val="321" w:hRule="atLeast"/>
        </w:trPr>
        <w:tc>
          <w:tcPr>
            <w:tcW w:w="708" w:type="dxa"/>
            <w:tcBorders/>
          </w:tcPr>
          <w:p>
            <w:pPr>
              <w:pStyle w:val="Normal"/>
              <w:widowControl w:val="false"/>
              <w:tabs>
                <w:tab w:val="clear" w:pos="708"/>
                <w:tab w:val="left" w:pos="3960" w:leader="none"/>
              </w:tabs>
              <w:spacing w:before="0" w:after="0"/>
              <w:jc w:val="center"/>
              <w:rPr>
                <w:rFonts w:eastAsia="Lucida Sans Unicode"/>
                <w:lang w:eastAsia="ar-SA"/>
              </w:rPr>
            </w:pPr>
            <w:r>
              <w:rPr>
                <w:rFonts w:eastAsia="Lucida Sans Unicode"/>
                <w:kern w:val="0"/>
                <w:lang w:val="ru-RU" w:eastAsia="ar-SA" w:bidi="ar-SA"/>
              </w:rPr>
              <w:t>4</w:t>
            </w:r>
          </w:p>
        </w:tc>
        <w:tc>
          <w:tcPr>
            <w:tcW w:w="2269" w:type="dxa"/>
            <w:tcBorders/>
          </w:tcPr>
          <w:p>
            <w:pPr>
              <w:pStyle w:val="Normal"/>
              <w:widowControl w:val="false"/>
              <w:spacing w:before="0" w:after="0"/>
              <w:jc w:val="left"/>
              <w:rPr>
                <w:rFonts w:eastAsia="Lucida Sans Unicode"/>
                <w:lang w:eastAsia="ar-SA"/>
              </w:rPr>
            </w:pPr>
            <w:r>
              <w:rPr>
                <w:rFonts w:eastAsia="Lucida Sans Unicode"/>
                <w:kern w:val="0"/>
                <w:sz w:val="18"/>
                <w:lang w:val="ru-RU" w:eastAsia="ar-SA" w:bidi="ar-SA"/>
              </w:rPr>
              <w:t>Дата и время начала подачи заявок</w:t>
            </w:r>
          </w:p>
        </w:tc>
        <w:tc>
          <w:tcPr>
            <w:tcW w:w="7795" w:type="dxa"/>
            <w:gridSpan w:val="6"/>
            <w:tcBorders/>
          </w:tcPr>
          <w:p>
            <w:pPr>
              <w:pStyle w:val="Normal"/>
              <w:widowControl/>
              <w:spacing w:before="0" w:after="0"/>
              <w:jc w:val="both"/>
              <w:rPr>
                <w:bCs/>
                <w:sz w:val="18"/>
                <w:lang w:eastAsia="ar-SA"/>
              </w:rPr>
            </w:pPr>
            <w:r>
              <w:rPr>
                <w:rFonts w:eastAsia="Arial"/>
                <w:b/>
                <w:kern w:val="0"/>
                <w:sz w:val="22"/>
                <w:szCs w:val="22"/>
                <w:lang w:val="ru-RU" w:eastAsia="ar-SA" w:bidi="ar-SA"/>
              </w:rPr>
              <w:t>24</w:t>
            </w:r>
            <w:r>
              <w:rPr>
                <w:rFonts w:eastAsia="Arial"/>
                <w:b/>
                <w:kern w:val="0"/>
                <w:sz w:val="22"/>
                <w:szCs w:val="22"/>
                <w:lang w:val="ru-RU" w:eastAsia="ar-SA" w:bidi="ar-SA"/>
              </w:rPr>
              <w:t xml:space="preserve"> </w:t>
            </w:r>
            <w:r>
              <w:rPr>
                <w:rFonts w:eastAsia="Arial"/>
                <w:b/>
                <w:kern w:val="0"/>
                <w:sz w:val="22"/>
                <w:szCs w:val="22"/>
                <w:lang w:val="ru-RU" w:eastAsia="ar-SA" w:bidi="ar-SA"/>
              </w:rPr>
              <w:t>октябр</w:t>
            </w:r>
            <w:r>
              <w:rPr>
                <w:rFonts w:eastAsia="Arial"/>
                <w:b/>
                <w:kern w:val="0"/>
                <w:sz w:val="22"/>
                <w:szCs w:val="22"/>
                <w:lang w:val="ru-RU" w:eastAsia="ar-SA" w:bidi="ar-SA"/>
              </w:rPr>
              <w:t>я 2026 года с 10:00</w:t>
            </w:r>
            <w:r>
              <w:rPr>
                <w:rFonts w:eastAsia="Arial"/>
                <w:kern w:val="0"/>
                <w:sz w:val="22"/>
                <w:szCs w:val="22"/>
                <w:lang w:val="ru-RU" w:eastAsia="ar-SA" w:bidi="ar-SA"/>
              </w:rPr>
              <w:t xml:space="preserve"> часов (в</w:t>
            </w:r>
            <w:r>
              <w:rPr>
                <w:bCs/>
                <w:kern w:val="0"/>
                <w:sz w:val="22"/>
                <w:szCs w:val="22"/>
                <w:lang w:val="ru-RU" w:eastAsia="ar-SA" w:bidi="ar-SA"/>
              </w:rPr>
              <w:t xml:space="preserve">ремя московское) </w:t>
            </w:r>
            <w:hyperlink r:id="rId5" w:tooltip="https://www.rts-tender.ru">
              <w:r>
                <w:rPr>
                  <w:rStyle w:val="Style"/>
                  <w:rFonts w:eastAsia="Calibri" w:eastAsiaTheme="minorHAnsi"/>
                  <w:color w:themeColor="hyperlink" w:val="0000FF"/>
                  <w:kern w:val="0"/>
                  <w:sz w:val="22"/>
                  <w:szCs w:val="22"/>
                  <w:u w:val="single"/>
                  <w:lang w:val="ru-RU" w:eastAsia="en-US" w:bidi="ar-SA"/>
                </w:rPr>
                <w:t>https://www.rts-tender.ru</w:t>
              </w:r>
            </w:hyperlink>
          </w:p>
        </w:tc>
      </w:tr>
      <w:tr>
        <w:trPr>
          <w:trHeight w:val="321" w:hRule="atLeast"/>
        </w:trPr>
        <w:tc>
          <w:tcPr>
            <w:tcW w:w="708" w:type="dxa"/>
            <w:tcBorders/>
          </w:tcPr>
          <w:p>
            <w:pPr>
              <w:pStyle w:val="Normal"/>
              <w:widowControl w:val="false"/>
              <w:tabs>
                <w:tab w:val="clear" w:pos="708"/>
                <w:tab w:val="left" w:pos="3960" w:leader="none"/>
              </w:tabs>
              <w:spacing w:before="0" w:after="0"/>
              <w:jc w:val="center"/>
              <w:rPr>
                <w:rFonts w:eastAsia="Lucida Sans Unicode"/>
                <w:lang w:eastAsia="ar-SA"/>
              </w:rPr>
            </w:pPr>
            <w:r>
              <w:rPr>
                <w:rFonts w:eastAsia="Lucida Sans Unicode"/>
                <w:kern w:val="0"/>
                <w:lang w:val="ru-RU" w:eastAsia="ar-SA" w:bidi="ar-SA"/>
              </w:rPr>
              <w:t>5</w:t>
            </w:r>
          </w:p>
        </w:tc>
        <w:tc>
          <w:tcPr>
            <w:tcW w:w="2269" w:type="dxa"/>
            <w:tcBorders/>
          </w:tcPr>
          <w:p>
            <w:pPr>
              <w:pStyle w:val="Normal"/>
              <w:widowControl w:val="false"/>
              <w:spacing w:before="0" w:after="0"/>
              <w:jc w:val="left"/>
              <w:rPr>
                <w:rFonts w:eastAsia="Lucida Sans Unicode"/>
                <w:sz w:val="18"/>
                <w:lang w:eastAsia="ar-SA"/>
              </w:rPr>
            </w:pPr>
            <w:r>
              <w:rPr>
                <w:rFonts w:eastAsia="Lucida Sans Unicode"/>
                <w:kern w:val="0"/>
                <w:sz w:val="18"/>
                <w:lang w:val="ru-RU" w:eastAsia="ar-SA" w:bidi="ar-SA"/>
              </w:rPr>
              <w:t>Дата и время окончания подачи заявок</w:t>
            </w:r>
          </w:p>
        </w:tc>
        <w:tc>
          <w:tcPr>
            <w:tcW w:w="7795" w:type="dxa"/>
            <w:gridSpan w:val="6"/>
            <w:tcBorders/>
          </w:tcPr>
          <w:p>
            <w:pPr>
              <w:pStyle w:val="Normal"/>
              <w:widowControl/>
              <w:spacing w:before="0" w:after="0"/>
              <w:jc w:val="both"/>
              <w:rPr>
                <w:rFonts w:eastAsia="Arial"/>
                <w:b/>
                <w:sz w:val="22"/>
                <w:szCs w:val="22"/>
                <w:lang w:eastAsia="ar-SA"/>
              </w:rPr>
            </w:pPr>
            <w:r>
              <w:rPr>
                <w:b/>
                <w:kern w:val="0"/>
                <w:sz w:val="22"/>
                <w:szCs w:val="22"/>
                <w:lang w:val="ru-RU" w:eastAsia="ar-SA" w:bidi="ar-SA"/>
              </w:rPr>
              <w:t>1</w:t>
            </w:r>
            <w:r>
              <w:rPr>
                <w:b/>
                <w:kern w:val="0"/>
                <w:sz w:val="22"/>
                <w:szCs w:val="22"/>
                <w:lang w:val="ru-RU" w:eastAsia="ar-SA" w:bidi="ar-SA"/>
              </w:rPr>
              <w:t>8</w:t>
            </w:r>
            <w:r>
              <w:rPr>
                <w:b/>
                <w:kern w:val="0"/>
                <w:sz w:val="22"/>
                <w:szCs w:val="22"/>
                <w:lang w:val="ru-RU" w:eastAsia="ar-SA" w:bidi="ar-SA"/>
              </w:rPr>
              <w:t xml:space="preserve"> </w:t>
            </w:r>
            <w:r>
              <w:rPr>
                <w:b/>
                <w:kern w:val="0"/>
                <w:sz w:val="22"/>
                <w:szCs w:val="22"/>
                <w:lang w:val="ru-RU" w:eastAsia="ar-SA" w:bidi="ar-SA"/>
              </w:rPr>
              <w:t>ноября</w:t>
            </w:r>
            <w:r>
              <w:rPr>
                <w:b/>
                <w:kern w:val="0"/>
                <w:sz w:val="22"/>
                <w:szCs w:val="22"/>
                <w:lang w:val="ru-RU" w:eastAsia="ar-SA" w:bidi="ar-SA"/>
              </w:rPr>
              <w:t xml:space="preserve"> 2026 года до 18:00</w:t>
            </w:r>
            <w:r>
              <w:rPr>
                <w:kern w:val="0"/>
                <w:sz w:val="22"/>
                <w:szCs w:val="22"/>
                <w:lang w:val="ru-RU" w:eastAsia="ar-SA" w:bidi="ar-SA"/>
              </w:rPr>
              <w:t xml:space="preserve"> часов (время московское) </w:t>
            </w:r>
            <w:hyperlink r:id="rId6" w:tooltip="https://www.rts-tender.ru">
              <w:r>
                <w:rPr>
                  <w:rStyle w:val="Style"/>
                  <w:rFonts w:eastAsia="Calibri" w:eastAsiaTheme="minorHAnsi"/>
                  <w:color w:themeColor="hyperlink" w:val="0000FF"/>
                  <w:kern w:val="0"/>
                  <w:u w:val="single"/>
                  <w:lang w:val="ru-RU" w:eastAsia="en-US" w:bidi="ar-SA"/>
                </w:rPr>
                <w:t>https://www.rts-tender.ru</w:t>
              </w:r>
            </w:hyperlink>
          </w:p>
        </w:tc>
      </w:tr>
      <w:tr>
        <w:trPr>
          <w:trHeight w:val="321" w:hRule="atLeast"/>
        </w:trPr>
        <w:tc>
          <w:tcPr>
            <w:tcW w:w="708" w:type="dxa"/>
            <w:tcBorders/>
          </w:tcPr>
          <w:p>
            <w:pPr>
              <w:pStyle w:val="Normal"/>
              <w:widowControl w:val="false"/>
              <w:tabs>
                <w:tab w:val="clear" w:pos="708"/>
                <w:tab w:val="left" w:pos="3960" w:leader="none"/>
              </w:tabs>
              <w:spacing w:before="0" w:after="0"/>
              <w:jc w:val="center"/>
              <w:rPr>
                <w:rFonts w:eastAsia="Lucida Sans Unicode"/>
                <w:lang w:eastAsia="ar-SA"/>
              </w:rPr>
            </w:pPr>
            <w:r>
              <w:rPr>
                <w:rFonts w:eastAsia="Lucida Sans Unicode"/>
                <w:kern w:val="0"/>
                <w:lang w:val="ru-RU" w:eastAsia="ar-SA" w:bidi="ar-SA"/>
              </w:rPr>
              <w:t>6</w:t>
            </w:r>
          </w:p>
        </w:tc>
        <w:tc>
          <w:tcPr>
            <w:tcW w:w="2269" w:type="dxa"/>
            <w:tcBorders/>
          </w:tcPr>
          <w:p>
            <w:pPr>
              <w:pStyle w:val="Normal"/>
              <w:widowControl w:val="false"/>
              <w:spacing w:before="0" w:after="0"/>
              <w:jc w:val="left"/>
              <w:rPr>
                <w:rFonts w:eastAsia="Lucida Sans Unicode"/>
                <w:sz w:val="18"/>
                <w:lang w:eastAsia="ar-SA"/>
              </w:rPr>
            </w:pPr>
            <w:r>
              <w:rPr>
                <w:rFonts w:eastAsia="Lucida Sans Unicode"/>
                <w:kern w:val="0"/>
                <w:sz w:val="18"/>
                <w:lang w:val="ru-RU" w:eastAsia="ar-SA" w:bidi="ar-SA"/>
              </w:rPr>
              <w:t>Дата подведения итогов приема заявок</w:t>
            </w:r>
          </w:p>
        </w:tc>
        <w:tc>
          <w:tcPr>
            <w:tcW w:w="7795" w:type="dxa"/>
            <w:gridSpan w:val="6"/>
            <w:tcBorders/>
          </w:tcPr>
          <w:p>
            <w:pPr>
              <w:pStyle w:val="Normal"/>
              <w:widowControl/>
              <w:spacing w:before="0" w:after="0"/>
              <w:jc w:val="both"/>
              <w:rPr>
                <w:b/>
                <w:sz w:val="22"/>
                <w:szCs w:val="22"/>
                <w:lang w:eastAsia="ar-SA"/>
              </w:rPr>
            </w:pPr>
            <w:r>
              <w:rPr>
                <w:rFonts w:eastAsia="Arial"/>
                <w:kern w:val="0"/>
                <w:sz w:val="22"/>
                <w:szCs w:val="22"/>
                <w:lang w:val="ru-RU" w:eastAsia="ar-SA" w:bidi="ar-SA"/>
              </w:rPr>
              <w:t>24</w:t>
            </w:r>
            <w:bookmarkStart w:id="0" w:name="_GoBack"/>
            <w:r>
              <w:rPr>
                <w:rFonts w:eastAsia="Arial"/>
                <w:kern w:val="0"/>
                <w:sz w:val="22"/>
                <w:szCs w:val="22"/>
                <w:lang w:val="ru-RU" w:eastAsia="ar-SA" w:bidi="ar-SA"/>
              </w:rPr>
              <w:t xml:space="preserve"> </w:t>
            </w:r>
            <w:r>
              <w:rPr>
                <w:rFonts w:eastAsia="Arial"/>
                <w:kern w:val="0"/>
                <w:sz w:val="22"/>
                <w:szCs w:val="22"/>
                <w:lang w:val="ru-RU" w:eastAsia="ar-SA" w:bidi="ar-SA"/>
              </w:rPr>
              <w:t>ноябр</w:t>
            </w:r>
            <w:r>
              <w:rPr>
                <w:rFonts w:eastAsia="Arial"/>
                <w:kern w:val="0"/>
                <w:sz w:val="22"/>
                <w:szCs w:val="22"/>
                <w:lang w:val="ru-RU" w:eastAsia="ar-SA" w:bidi="ar-SA"/>
              </w:rPr>
              <w:t>я</w:t>
            </w:r>
            <w:bookmarkEnd w:id="0"/>
            <w:r>
              <w:rPr>
                <w:rFonts w:eastAsia="Arial"/>
                <w:kern w:val="0"/>
                <w:sz w:val="22"/>
                <w:szCs w:val="22"/>
                <w:lang w:val="ru-RU" w:eastAsia="ar-SA" w:bidi="ar-SA"/>
              </w:rPr>
              <w:t xml:space="preserve"> 2026 года </w:t>
            </w:r>
            <w:hyperlink r:id="rId7" w:tooltip="https://www.rts-tender.ru">
              <w:r>
                <w:rPr>
                  <w:rStyle w:val="Style"/>
                  <w:rFonts w:eastAsia="Calibri" w:eastAsiaTheme="minorHAnsi"/>
                  <w:color w:themeColor="hyperlink" w:val="0000FF"/>
                  <w:kern w:val="0"/>
                  <w:sz w:val="22"/>
                  <w:szCs w:val="22"/>
                  <w:u w:val="single"/>
                  <w:lang w:val="ru-RU" w:eastAsia="en-US" w:bidi="ar-SA"/>
                </w:rPr>
                <w:t>https://www.rts-tender.ru</w:t>
              </w:r>
            </w:hyperlink>
          </w:p>
        </w:tc>
      </w:tr>
      <w:tr>
        <w:trPr>
          <w:trHeight w:val="321" w:hRule="atLeast"/>
        </w:trPr>
        <w:tc>
          <w:tcPr>
            <w:tcW w:w="708" w:type="dxa"/>
            <w:tcBorders/>
          </w:tcPr>
          <w:p>
            <w:pPr>
              <w:pStyle w:val="Normal"/>
              <w:widowControl w:val="false"/>
              <w:tabs>
                <w:tab w:val="clear" w:pos="708"/>
                <w:tab w:val="left" w:pos="3960" w:leader="none"/>
              </w:tabs>
              <w:spacing w:before="0" w:after="0"/>
              <w:jc w:val="center"/>
              <w:rPr>
                <w:rFonts w:eastAsia="Lucida Sans Unicode"/>
                <w:lang w:eastAsia="ar-SA"/>
              </w:rPr>
            </w:pPr>
            <w:r>
              <w:rPr>
                <w:rFonts w:eastAsia="Lucida Sans Unicode"/>
                <w:kern w:val="0"/>
                <w:lang w:val="ru-RU" w:eastAsia="ar-SA" w:bidi="ar-SA"/>
              </w:rPr>
              <w:t>7</w:t>
            </w:r>
          </w:p>
        </w:tc>
        <w:tc>
          <w:tcPr>
            <w:tcW w:w="2269" w:type="dxa"/>
            <w:tcBorders/>
          </w:tcPr>
          <w:p>
            <w:pPr>
              <w:pStyle w:val="Normal"/>
              <w:widowControl w:val="false"/>
              <w:spacing w:before="0" w:after="0"/>
              <w:jc w:val="left"/>
              <w:rPr>
                <w:rFonts w:eastAsia="Lucida Sans Unicode"/>
                <w:sz w:val="18"/>
                <w:lang w:eastAsia="ar-SA"/>
              </w:rPr>
            </w:pPr>
            <w:r>
              <w:rPr>
                <w:rFonts w:eastAsia="Lucida Sans Unicode"/>
                <w:kern w:val="0"/>
                <w:sz w:val="18"/>
                <w:lang w:val="ru-RU" w:eastAsia="ar-SA" w:bidi="ar-SA"/>
              </w:rPr>
              <w:t xml:space="preserve">Дата, время и место проведения аукциона </w:t>
            </w:r>
            <w:r>
              <w:rPr>
                <w:kern w:val="0"/>
                <w:sz w:val="18"/>
                <w:lang w:val="ru-RU" w:bidi="ar-SA"/>
              </w:rPr>
              <w:t>в электронной форме</w:t>
            </w:r>
          </w:p>
        </w:tc>
        <w:tc>
          <w:tcPr>
            <w:tcW w:w="7795" w:type="dxa"/>
            <w:gridSpan w:val="6"/>
            <w:tcBorders/>
          </w:tcPr>
          <w:p>
            <w:pPr>
              <w:pStyle w:val="Normal"/>
              <w:widowControl/>
              <w:tabs>
                <w:tab w:val="clear" w:pos="708"/>
                <w:tab w:val="left" w:pos="0" w:leader="none"/>
                <w:tab w:val="left" w:pos="578" w:leader="none"/>
              </w:tabs>
              <w:spacing w:before="0" w:after="0"/>
              <w:jc w:val="center"/>
              <w:rPr>
                <w:rFonts w:eastAsia="Lucida Sans Unicode"/>
                <w:lang w:eastAsia="ar-SA"/>
              </w:rPr>
            </w:pPr>
            <w:r>
              <w:rPr>
                <w:rFonts w:eastAsia="Arial"/>
                <w:b/>
                <w:kern w:val="0"/>
                <w:sz w:val="22"/>
                <w:szCs w:val="22"/>
                <w:u w:val="single"/>
                <w:lang w:val="ru-RU" w:eastAsia="ar-SA" w:bidi="ar-SA"/>
              </w:rPr>
              <w:t>30</w:t>
            </w:r>
            <w:r>
              <w:rPr>
                <w:rFonts w:eastAsia="Arial"/>
                <w:b/>
                <w:kern w:val="0"/>
                <w:sz w:val="22"/>
                <w:szCs w:val="22"/>
                <w:u w:val="single"/>
                <w:lang w:val="ru-RU" w:eastAsia="ar-SA" w:bidi="ar-SA"/>
              </w:rPr>
              <w:t xml:space="preserve"> </w:t>
            </w:r>
            <w:r>
              <w:rPr>
                <w:rFonts w:eastAsia="Arial"/>
                <w:b/>
                <w:kern w:val="0"/>
                <w:sz w:val="22"/>
                <w:szCs w:val="22"/>
                <w:u w:val="single"/>
                <w:lang w:val="ru-RU" w:eastAsia="ar-SA" w:bidi="ar-SA"/>
              </w:rPr>
              <w:t>ноября</w:t>
            </w:r>
            <w:r>
              <w:rPr>
                <w:rFonts w:eastAsia="Arial"/>
                <w:b/>
                <w:kern w:val="0"/>
                <w:sz w:val="22"/>
                <w:szCs w:val="22"/>
                <w:u w:val="single"/>
                <w:lang w:val="ru-RU" w:eastAsia="ar-SA" w:bidi="ar-SA"/>
              </w:rPr>
              <w:t xml:space="preserve"> 2026 года в 10:00</w:t>
            </w:r>
            <w:r>
              <w:rPr>
                <w:rFonts w:eastAsia="Arial"/>
                <w:kern w:val="0"/>
                <w:sz w:val="22"/>
                <w:szCs w:val="22"/>
                <w:lang w:val="ru-RU" w:eastAsia="ar-SA" w:bidi="ar-SA"/>
              </w:rPr>
              <w:t xml:space="preserve"> часов (время московское) </w:t>
            </w:r>
            <w:hyperlink r:id="rId8" w:tooltip="https://www.rts-tender.ru">
              <w:r>
                <w:rPr>
                  <w:rStyle w:val="Style"/>
                  <w:rFonts w:eastAsia="Calibri" w:eastAsiaTheme="minorHAnsi"/>
                  <w:color w:themeColor="hyperlink" w:val="0000FF"/>
                  <w:kern w:val="0"/>
                  <w:u w:val="single"/>
                  <w:lang w:val="ru-RU" w:eastAsia="en-US" w:bidi="ar-SA"/>
                </w:rPr>
                <w:t>https://www.rts-tender.ru</w:t>
              </w:r>
            </w:hyperlink>
          </w:p>
          <w:p>
            <w:pPr>
              <w:pStyle w:val="Normal"/>
              <w:widowControl/>
              <w:spacing w:before="0" w:after="0"/>
              <w:jc w:val="both"/>
              <w:rPr>
                <w:rFonts w:eastAsia="Arial"/>
                <w:sz w:val="22"/>
                <w:szCs w:val="22"/>
                <w:lang w:eastAsia="ar-SA"/>
              </w:rPr>
            </w:pPr>
            <w:r>
              <w:rPr>
                <w:rFonts w:eastAsia="Arial"/>
                <w:kern w:val="0"/>
                <w:sz w:val="22"/>
                <w:szCs w:val="22"/>
                <w:lang w:val="ru-RU" w:eastAsia="ar-SA" w:bidi="ar-SA"/>
              </w:rPr>
            </w:r>
          </w:p>
        </w:tc>
      </w:tr>
      <w:tr>
        <w:trPr>
          <w:trHeight w:val="321" w:hRule="atLeast"/>
        </w:trPr>
        <w:tc>
          <w:tcPr>
            <w:tcW w:w="708" w:type="dxa"/>
            <w:tcBorders/>
          </w:tcPr>
          <w:p>
            <w:pPr>
              <w:pStyle w:val="Normal"/>
              <w:widowControl w:val="false"/>
              <w:tabs>
                <w:tab w:val="clear" w:pos="708"/>
                <w:tab w:val="left" w:pos="3960" w:leader="none"/>
              </w:tabs>
              <w:spacing w:before="0" w:after="0"/>
              <w:jc w:val="center"/>
              <w:rPr>
                <w:rFonts w:eastAsia="Lucida Sans Unicode"/>
                <w:lang w:eastAsia="ar-SA"/>
              </w:rPr>
            </w:pPr>
            <w:r>
              <w:rPr>
                <w:rFonts w:eastAsia="Lucida Sans Unicode"/>
                <w:kern w:val="0"/>
                <w:lang w:val="ru-RU" w:eastAsia="ar-SA" w:bidi="ar-SA"/>
              </w:rPr>
              <w:t>8</w:t>
            </w:r>
          </w:p>
        </w:tc>
        <w:tc>
          <w:tcPr>
            <w:tcW w:w="2269" w:type="dxa"/>
            <w:tcBorders/>
          </w:tcPr>
          <w:p>
            <w:pPr>
              <w:pStyle w:val="Normal"/>
              <w:widowControl w:val="false"/>
              <w:spacing w:before="0" w:after="0"/>
              <w:jc w:val="left"/>
              <w:rPr>
                <w:rFonts w:eastAsia="Lucida Sans Unicode"/>
                <w:sz w:val="18"/>
                <w:lang w:eastAsia="ar-SA"/>
              </w:rPr>
            </w:pPr>
            <w:r>
              <w:rPr>
                <w:rFonts w:eastAsia="Lucida Sans Unicode"/>
                <w:kern w:val="0"/>
                <w:sz w:val="18"/>
                <w:lang w:val="ru-RU" w:eastAsia="ar-SA" w:bidi="ar-SA"/>
              </w:rPr>
              <w:t>Снижение цены от первоначальной стоимости</w:t>
            </w:r>
          </w:p>
          <w:p>
            <w:pPr>
              <w:pStyle w:val="Normal"/>
              <w:widowControl w:val="false"/>
              <w:spacing w:before="0" w:after="0"/>
              <w:jc w:val="left"/>
              <w:rPr>
                <w:rFonts w:eastAsia="Lucida Sans Unicode"/>
                <w:sz w:val="18"/>
                <w:lang w:eastAsia="ar-SA"/>
              </w:rPr>
            </w:pPr>
            <w:r>
              <w:rPr>
                <w:rFonts w:eastAsia="Lucida Sans Unicode"/>
                <w:kern w:val="0"/>
                <w:sz w:val="18"/>
                <w:lang w:val="ru-RU" w:eastAsia="ar-SA" w:bidi="ar-SA"/>
              </w:rPr>
              <w:t>в соответствии с п. 18.</w:t>
            </w:r>
          </w:p>
        </w:tc>
        <w:tc>
          <w:tcPr>
            <w:tcW w:w="7795" w:type="dxa"/>
            <w:gridSpan w:val="6"/>
            <w:tcBorders/>
          </w:tcPr>
          <w:p>
            <w:pPr>
              <w:pStyle w:val="Normal"/>
              <w:widowControl/>
              <w:tabs>
                <w:tab w:val="clear" w:pos="708"/>
                <w:tab w:val="left" w:pos="0" w:leader="none"/>
                <w:tab w:val="left" w:pos="578" w:leader="none"/>
              </w:tabs>
              <w:spacing w:before="0" w:after="0"/>
              <w:jc w:val="left"/>
              <w:rPr>
                <w:rFonts w:eastAsia="Arial"/>
                <w:sz w:val="18"/>
                <w:lang w:eastAsia="ar-SA"/>
              </w:rPr>
            </w:pPr>
            <w:r>
              <w:rPr>
                <w:rFonts w:eastAsia="Arial"/>
                <w:kern w:val="0"/>
                <w:sz w:val="18"/>
                <w:lang w:val="ru-RU" w:eastAsia="ar-SA" w:bidi="ar-SA"/>
              </w:rPr>
              <w:t xml:space="preserve">      </w:t>
            </w:r>
            <w:r>
              <w:rPr>
                <w:rFonts w:eastAsia="Arial" w:cs="Times New Roman"/>
                <w:kern w:val="0"/>
                <w:sz w:val="18"/>
                <w:szCs w:val="20"/>
                <w:lang w:val="ru-RU" w:eastAsia="ar-SA" w:bidi="ar-SA"/>
              </w:rPr>
              <w:t>Если в течение 10 рабочих дней с момента размещения первичного извещения либо в течение 10 рабочих дней со дня начала приема заявок (в случае размещения повторного извещения при снижении начальной цены на 30 или 60 процентов) не поступило ни одной заявки, а также, если в ходе аукциона не поступило ни одного предложения о цене, Организатор процедуры размещает повторное извещение после подведения итогов по аукциону. При формировании повторного извещения Организатор процедуры указывает сниженную на 30, 60 или 90 процентов цену продажи имущества.</w:t>
            </w:r>
          </w:p>
        </w:tc>
      </w:tr>
      <w:tr>
        <w:trPr>
          <w:trHeight w:val="321" w:hRule="atLeast"/>
        </w:trPr>
        <w:tc>
          <w:tcPr>
            <w:tcW w:w="708" w:type="dxa"/>
            <w:tcBorders/>
          </w:tcPr>
          <w:p>
            <w:pPr>
              <w:pStyle w:val="Normal"/>
              <w:widowControl w:val="false"/>
              <w:tabs>
                <w:tab w:val="clear" w:pos="708"/>
                <w:tab w:val="left" w:pos="3960" w:leader="none"/>
              </w:tabs>
              <w:spacing w:before="0" w:after="0"/>
              <w:jc w:val="center"/>
              <w:rPr>
                <w:rFonts w:eastAsia="Lucida Sans Unicode"/>
                <w:lang w:eastAsia="ar-SA"/>
              </w:rPr>
            </w:pPr>
            <w:r>
              <w:rPr>
                <w:rFonts w:eastAsia="Lucida Sans Unicode"/>
                <w:kern w:val="0"/>
                <w:lang w:val="ru-RU" w:eastAsia="ar-SA" w:bidi="ar-SA"/>
              </w:rPr>
              <w:t>9</w:t>
            </w:r>
          </w:p>
        </w:tc>
        <w:tc>
          <w:tcPr>
            <w:tcW w:w="2269" w:type="dxa"/>
            <w:tcBorders/>
          </w:tcPr>
          <w:p>
            <w:pPr>
              <w:pStyle w:val="Normal"/>
              <w:widowControl w:val="false"/>
              <w:spacing w:before="0" w:after="0"/>
              <w:jc w:val="left"/>
              <w:rPr>
                <w:rFonts w:eastAsia="Lucida Sans Unicode"/>
                <w:sz w:val="18"/>
                <w:lang w:eastAsia="ar-SA"/>
              </w:rPr>
            </w:pPr>
            <w:r>
              <w:rPr>
                <w:rFonts w:eastAsia="Lucida Sans Unicode"/>
                <w:kern w:val="0"/>
                <w:sz w:val="18"/>
                <w:lang w:val="ru-RU" w:eastAsia="ar-SA" w:bidi="ar-SA"/>
              </w:rPr>
              <w:t xml:space="preserve">Шаг аукциона </w:t>
            </w:r>
            <w:r>
              <w:rPr>
                <w:kern w:val="0"/>
                <w:sz w:val="18"/>
                <w:lang w:val="ru-RU" w:bidi="ar-SA"/>
              </w:rPr>
              <w:t>в электронной форме</w:t>
            </w:r>
          </w:p>
        </w:tc>
        <w:tc>
          <w:tcPr>
            <w:tcW w:w="7795" w:type="dxa"/>
            <w:gridSpan w:val="6"/>
            <w:tcBorders/>
          </w:tcPr>
          <w:p>
            <w:pPr>
              <w:pStyle w:val="Normal"/>
              <w:widowControl/>
              <w:tabs>
                <w:tab w:val="clear" w:pos="708"/>
                <w:tab w:val="left" w:pos="0" w:leader="none"/>
                <w:tab w:val="left" w:pos="578" w:leader="none"/>
              </w:tabs>
              <w:spacing w:before="0" w:after="0"/>
              <w:jc w:val="left"/>
              <w:rPr>
                <w:rFonts w:eastAsia="Arial"/>
                <w:sz w:val="18"/>
                <w:lang w:eastAsia="ar-SA"/>
              </w:rPr>
            </w:pPr>
            <w:r>
              <w:rPr>
                <w:kern w:val="0"/>
                <w:sz w:val="18"/>
                <w:lang w:val="ru-RU" w:bidi="ar-SA"/>
              </w:rPr>
              <w:t>Шаг аукциона в электронной форме устанавливается в размере 5% (пяти) начальной (минимальной) цены лота, указанной в извещении о проведении аукциона.</w:t>
            </w:r>
          </w:p>
        </w:tc>
      </w:tr>
      <w:tr>
        <w:trPr>
          <w:trHeight w:val="527" w:hRule="atLeast"/>
        </w:trPr>
        <w:tc>
          <w:tcPr>
            <w:tcW w:w="708" w:type="dxa"/>
            <w:tcBorders/>
          </w:tcPr>
          <w:p>
            <w:pPr>
              <w:pStyle w:val="Normal"/>
              <w:widowControl w:val="false"/>
              <w:tabs>
                <w:tab w:val="clear" w:pos="708"/>
                <w:tab w:val="left" w:pos="3440" w:leader="none"/>
              </w:tabs>
              <w:spacing w:before="0" w:after="0"/>
              <w:ind w:right="1"/>
              <w:jc w:val="center"/>
              <w:rPr>
                <w:rFonts w:eastAsia="Lucida Sans Unicode"/>
                <w:lang w:eastAsia="ar-SA"/>
              </w:rPr>
            </w:pPr>
            <w:r>
              <w:rPr>
                <w:rFonts w:eastAsia="Lucida Sans Unicode"/>
                <w:kern w:val="0"/>
                <w:lang w:val="ru-RU" w:eastAsia="ar-SA" w:bidi="ar-SA"/>
              </w:rPr>
              <w:t>10</w:t>
            </w:r>
          </w:p>
        </w:tc>
        <w:tc>
          <w:tcPr>
            <w:tcW w:w="2269" w:type="dxa"/>
            <w:tcBorders/>
          </w:tcPr>
          <w:p>
            <w:pPr>
              <w:pStyle w:val="Normal"/>
              <w:widowControl w:val="false"/>
              <w:spacing w:before="0" w:after="0"/>
              <w:jc w:val="left"/>
              <w:rPr>
                <w:rFonts w:eastAsia="Lucida Sans Unicode"/>
                <w:sz w:val="18"/>
                <w:lang w:eastAsia="ar-SA"/>
              </w:rPr>
            </w:pPr>
            <w:r>
              <w:rPr>
                <w:rFonts w:eastAsia="Lucida Sans Unicode"/>
                <w:kern w:val="0"/>
                <w:sz w:val="18"/>
                <w:lang w:val="ru-RU" w:eastAsia="ar-SA" w:bidi="ar-SA"/>
              </w:rPr>
              <w:t>Требование о внесении задатка</w:t>
            </w:r>
          </w:p>
        </w:tc>
        <w:tc>
          <w:tcPr>
            <w:tcW w:w="7795" w:type="dxa"/>
            <w:gridSpan w:val="6"/>
            <w:tcBorders/>
          </w:tcPr>
          <w:p>
            <w:pPr>
              <w:pStyle w:val="Normal"/>
              <w:widowControl/>
              <w:spacing w:before="0" w:after="0"/>
              <w:ind w:left="71"/>
              <w:jc w:val="both"/>
              <w:rPr>
                <w:rFonts w:eastAsia="Calibri" w:eastAsiaTheme="minorHAnsi"/>
                <w:sz w:val="18"/>
                <w:lang w:eastAsia="en-US"/>
              </w:rPr>
            </w:pPr>
            <w:r>
              <w:rPr>
                <w:rFonts w:eastAsia="Calibri" w:eastAsiaTheme="minorHAnsi"/>
                <w:kern w:val="0"/>
                <w:sz w:val="18"/>
                <w:lang w:val="ru-RU" w:eastAsia="en-US" w:bidi="ar-SA"/>
              </w:rPr>
              <w:t>Размер задатка для участия в аукционе: 10% от начальной (минимальной) цены продажи (лота).</w:t>
            </w:r>
          </w:p>
          <w:p>
            <w:pPr>
              <w:pStyle w:val="Normal"/>
              <w:widowControl/>
              <w:spacing w:before="0" w:after="0"/>
              <w:jc w:val="both"/>
              <w:rPr>
                <w:color w:val="282828"/>
              </w:rPr>
            </w:pPr>
            <w:r>
              <w:rPr>
                <w:rFonts w:eastAsia="Calibri" w:eastAsiaTheme="minorHAnsi"/>
                <w:kern w:val="0"/>
                <w:sz w:val="18"/>
                <w:lang w:val="ru-RU" w:eastAsia="en-US" w:bidi="ar-SA"/>
              </w:rPr>
              <w:t xml:space="preserve">Для участия в торговой процедуре по реализации имущества, обращенного в собственность государства, и вещественных доказательств, претендент вносит задаток </w:t>
            </w:r>
            <w:r>
              <w:rPr>
                <w:rFonts w:eastAsia="Calibri" w:eastAsiaTheme="minorHAnsi"/>
                <w:b/>
                <w:kern w:val="0"/>
                <w:sz w:val="18"/>
                <w:lang w:val="ru-RU" w:eastAsia="en-US" w:bidi="ar-SA"/>
              </w:rPr>
              <w:t>на специальный счет</w:t>
            </w:r>
            <w:r>
              <w:rPr>
                <w:rFonts w:eastAsia="Calibri" w:eastAsiaTheme="minorHAnsi"/>
                <w:kern w:val="0"/>
                <w:sz w:val="18"/>
                <w:lang w:val="ru-RU" w:eastAsia="en-US" w:bidi="ar-SA"/>
              </w:rPr>
              <w:t>, открытый им в одном из банков, перечень которых устанавливается Правительством Российской Федерации (далее - специальный счет), (</w:t>
            </w:r>
            <w:hyperlink r:id="rId9" w:tooltip="http://government.ru/docs/33268/">
              <w:r>
                <w:rPr>
                  <w:rStyle w:val="Style"/>
                  <w:color w:val="1A1F6C"/>
                  <w:kern w:val="0"/>
                  <w:lang w:val="ru-RU" w:bidi="ar-SA"/>
                </w:rPr>
                <w:t>Перечень банков утвержден распоряжением Правительства Российской Федерации от 13.07.2018 № 1451-р</w:t>
              </w:r>
            </w:hyperlink>
            <w:r>
              <w:rPr>
                <w:color w:val="282828"/>
                <w:kern w:val="0"/>
                <w:lang w:val="ru-RU" w:bidi="ar-SA"/>
              </w:rPr>
              <w:t>*</w:t>
            </w:r>
            <w:r>
              <w:rPr>
                <w:i/>
                <w:iCs/>
                <w:color w:val="282828"/>
                <w:kern w:val="0"/>
                <w:lang w:val="ru-RU" w:bidi="ar-SA"/>
              </w:rPr>
              <w:t>(*обращаем внимание, что в перечень банков регулярно вносятся изменения)</w:t>
            </w:r>
            <w:r>
              <w:rPr>
                <w:color w:val="282828"/>
                <w:kern w:val="0"/>
                <w:lang w:val="ru-RU" w:bidi="ar-SA"/>
              </w:rPr>
              <w:t>.</w:t>
            </w:r>
          </w:p>
          <w:p>
            <w:pPr>
              <w:pStyle w:val="Normal"/>
              <w:widowControl/>
              <w:spacing w:before="0" w:after="0"/>
              <w:ind w:left="71"/>
              <w:jc w:val="both"/>
              <w:rPr>
                <w:rFonts w:eastAsia="Calibri" w:eastAsiaTheme="minorHAnsi"/>
                <w:sz w:val="18"/>
                <w:lang w:eastAsia="en-US"/>
              </w:rPr>
            </w:pPr>
            <w:r>
              <w:rPr>
                <w:rFonts w:eastAsia="Calibri" w:eastAsiaTheme="minorHAnsi"/>
                <w:kern w:val="0"/>
                <w:sz w:val="18"/>
                <w:lang w:val="ru-RU" w:eastAsia="en-US" w:bidi="ar-SA"/>
              </w:rPr>
              <w:t>в порядке,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Открытие специального счета, взаимодействие оператора электронной площадки и банков, осуществляются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Normal"/>
              <w:widowControl/>
              <w:spacing w:before="0" w:after="0"/>
              <w:ind w:left="71"/>
              <w:jc w:val="both"/>
              <w:rPr>
                <w:rFonts w:eastAsia="Calibri" w:eastAsiaTheme="minorHAnsi"/>
                <w:sz w:val="18"/>
                <w:lang w:eastAsia="en-US"/>
              </w:rPr>
            </w:pPr>
            <w:r>
              <w:rPr>
                <w:rFonts w:eastAsia="Calibri" w:eastAsiaTheme="minorHAnsi"/>
                <w:kern w:val="0"/>
                <w:sz w:val="18"/>
                <w:lang w:val="ru-RU" w:eastAsia="en-US" w:bidi="ar-SA"/>
              </w:rPr>
              <w:t>Лицо, выигравшее торги, при уклонении или отказе от заключения в установленный срок договора купли-продажи имущества, невнесении покупной цены утрачивает внесенный им задаток.</w:t>
            </w:r>
          </w:p>
          <w:p>
            <w:pPr>
              <w:pStyle w:val="Normal"/>
              <w:widowControl w:val="false"/>
              <w:tabs>
                <w:tab w:val="clear" w:pos="708"/>
                <w:tab w:val="left" w:pos="0" w:leader="none"/>
              </w:tabs>
              <w:spacing w:before="0" w:after="0"/>
              <w:jc w:val="both"/>
              <w:rPr>
                <w:b/>
                <w:sz w:val="18"/>
                <w:szCs w:val="18"/>
              </w:rPr>
            </w:pPr>
            <w:r>
              <w:rPr>
                <w:b/>
                <w:kern w:val="0"/>
                <w:sz w:val="18"/>
                <w:szCs w:val="18"/>
                <w:lang w:val="ru-RU" w:bidi="ar-SA"/>
              </w:rPr>
              <w:t>Претендент не допускается к участию в аукционе по следующим основаниям:</w:t>
            </w:r>
          </w:p>
          <w:p>
            <w:pPr>
              <w:pStyle w:val="Normal"/>
              <w:widowControl w:val="false"/>
              <w:tabs>
                <w:tab w:val="clear" w:pos="708"/>
                <w:tab w:val="left" w:pos="0" w:leader="none"/>
              </w:tabs>
              <w:spacing w:before="0" w:after="0"/>
              <w:jc w:val="both"/>
              <w:rPr>
                <w:sz w:val="16"/>
                <w:szCs w:val="16"/>
              </w:rPr>
            </w:pPr>
            <w:r>
              <w:rPr>
                <w:kern w:val="0"/>
                <w:sz w:val="16"/>
                <w:szCs w:val="16"/>
                <w:lang w:val="ru-RU" w:bidi="ar-SA"/>
              </w:rPr>
            </w:r>
          </w:p>
          <w:p>
            <w:pPr>
              <w:pStyle w:val="Normal"/>
              <w:widowControl w:val="false"/>
              <w:tabs>
                <w:tab w:val="clear" w:pos="708"/>
                <w:tab w:val="left" w:pos="0" w:leader="none"/>
              </w:tabs>
              <w:spacing w:before="0" w:after="0"/>
              <w:jc w:val="both"/>
              <w:rPr>
                <w:sz w:val="18"/>
                <w:szCs w:val="18"/>
              </w:rPr>
            </w:pPr>
            <w:r>
              <w:rPr>
                <w:kern w:val="0"/>
                <w:sz w:val="18"/>
                <w:szCs w:val="18"/>
                <w:lang w:val="ru-RU" w:bidi="ar-SA"/>
              </w:rPr>
              <w:t>- документы, представленные в соответствии с пунктом 11.2 настоящего Положения, не соответствуют требованиям, установленным законодательством Российской Федерации;</w:t>
            </w:r>
          </w:p>
          <w:p>
            <w:pPr>
              <w:pStyle w:val="Normal"/>
              <w:widowControl w:val="false"/>
              <w:tabs>
                <w:tab w:val="clear" w:pos="708"/>
                <w:tab w:val="left" w:pos="0" w:leader="none"/>
              </w:tabs>
              <w:spacing w:before="0" w:after="0"/>
              <w:jc w:val="both"/>
              <w:rPr>
                <w:sz w:val="18"/>
                <w:szCs w:val="18"/>
              </w:rPr>
            </w:pPr>
            <w:r>
              <w:rPr>
                <w:kern w:val="0"/>
                <w:sz w:val="18"/>
                <w:szCs w:val="18"/>
                <w:lang w:val="ru-RU" w:bidi="ar-SA"/>
              </w:rPr>
              <w:t>- заявка подана лицом, не уполномоченным претендентом на осуществление таких действий;</w:t>
            </w:r>
          </w:p>
          <w:p>
            <w:pPr>
              <w:pStyle w:val="Normal"/>
              <w:widowControl w:val="false"/>
              <w:tabs>
                <w:tab w:val="clear" w:pos="708"/>
                <w:tab w:val="left" w:pos="567" w:leader="none"/>
              </w:tabs>
              <w:spacing w:before="0" w:after="0"/>
              <w:jc w:val="both"/>
              <w:rPr>
                <w:sz w:val="18"/>
                <w:szCs w:val="18"/>
              </w:rPr>
            </w:pPr>
            <w:r>
              <w:rPr>
                <w:kern w:val="0"/>
                <w:sz w:val="18"/>
                <w:szCs w:val="18"/>
                <w:lang w:val="ru-RU" w:bidi="ar-SA"/>
              </w:rPr>
              <w:t>- на специальном счете претендента отсутствуют незаблокированные денежные средства в размере задатка либо блокирование денежных средств на специальном счете не может быть осуществлено в связи с приостановлением операций по такому счету в соответствии с законодательством Российской Федерации.</w:t>
            </w:r>
          </w:p>
        </w:tc>
      </w:tr>
      <w:tr>
        <w:trPr>
          <w:trHeight w:val="3950" w:hRule="atLeast"/>
        </w:trPr>
        <w:tc>
          <w:tcPr>
            <w:tcW w:w="708" w:type="dxa"/>
            <w:tcBorders/>
          </w:tcPr>
          <w:p>
            <w:pPr>
              <w:pStyle w:val="Normal"/>
              <w:widowControl w:val="false"/>
              <w:tabs>
                <w:tab w:val="clear" w:pos="708"/>
                <w:tab w:val="left" w:pos="3960" w:leader="none"/>
              </w:tabs>
              <w:spacing w:before="0" w:after="0"/>
              <w:jc w:val="center"/>
              <w:rPr>
                <w:rFonts w:eastAsia="Lucida Sans Unicode"/>
                <w:lang w:eastAsia="ar-SA"/>
              </w:rPr>
            </w:pPr>
            <w:r>
              <w:rPr>
                <w:rFonts w:eastAsia="Lucida Sans Unicode"/>
                <w:kern w:val="0"/>
                <w:lang w:val="ru-RU" w:eastAsia="ar-SA" w:bidi="ar-SA"/>
              </w:rPr>
              <w:t>11</w:t>
            </w:r>
          </w:p>
        </w:tc>
        <w:tc>
          <w:tcPr>
            <w:tcW w:w="2269" w:type="dxa"/>
            <w:tcBorders/>
          </w:tcPr>
          <w:p>
            <w:pPr>
              <w:pStyle w:val="Normal"/>
              <w:widowControl w:val="false"/>
              <w:spacing w:before="0" w:after="0"/>
              <w:jc w:val="left"/>
              <w:rPr>
                <w:rFonts w:eastAsia="Lucida Sans Unicode"/>
                <w:sz w:val="18"/>
                <w:lang w:eastAsia="ar-SA"/>
              </w:rPr>
            </w:pPr>
            <w:r>
              <w:rPr>
                <w:rFonts w:eastAsia="Lucida Sans Unicode"/>
                <w:kern w:val="0"/>
                <w:sz w:val="18"/>
                <w:lang w:val="ru-RU" w:eastAsia="ar-SA" w:bidi="ar-SA"/>
              </w:rPr>
              <w:t xml:space="preserve">Для участия в аукционе </w:t>
            </w:r>
            <w:r>
              <w:rPr>
                <w:kern w:val="0"/>
                <w:sz w:val="18"/>
                <w:lang w:val="ru-RU" w:bidi="ar-SA"/>
              </w:rPr>
              <w:t>в электронной форме</w:t>
            </w:r>
            <w:r>
              <w:rPr>
                <w:rFonts w:eastAsia="Lucida Sans Unicode"/>
                <w:kern w:val="0"/>
                <w:sz w:val="18"/>
                <w:lang w:val="ru-RU" w:eastAsia="ar-SA" w:bidi="ar-SA"/>
              </w:rPr>
              <w:t xml:space="preserve"> претендент должен</w:t>
            </w:r>
          </w:p>
        </w:tc>
        <w:tc>
          <w:tcPr>
            <w:tcW w:w="7795" w:type="dxa"/>
            <w:gridSpan w:val="6"/>
            <w:tcBorders/>
            <w:vAlign w:val="center"/>
          </w:tcPr>
          <w:p>
            <w:pPr>
              <w:pStyle w:val="Normal"/>
              <w:widowControl/>
              <w:spacing w:before="0" w:after="0"/>
              <w:ind w:left="34"/>
              <w:jc w:val="both"/>
              <w:rPr>
                <w:lang w:eastAsia="ar-SA"/>
              </w:rPr>
            </w:pPr>
            <w:r>
              <w:rPr>
                <w:kern w:val="0"/>
                <w:u w:val="single"/>
                <w:lang w:val="ru-RU" w:eastAsia="ar-SA" w:bidi="ar-SA"/>
              </w:rPr>
              <w:t>Для участия в аукционе претендент</w:t>
            </w:r>
            <w:r>
              <w:rPr>
                <w:kern w:val="0"/>
                <w:lang w:val="ru-RU" w:eastAsia="ar-SA" w:bidi="ar-SA"/>
              </w:rPr>
              <w:t>:</w:t>
            </w:r>
          </w:p>
          <w:p>
            <w:pPr>
              <w:pStyle w:val="Normal"/>
              <w:widowControl/>
              <w:spacing w:before="0" w:after="0"/>
              <w:jc w:val="both"/>
              <w:rPr>
                <w:sz w:val="18"/>
              </w:rPr>
            </w:pPr>
            <w:r>
              <w:rPr>
                <w:kern w:val="0"/>
                <w:sz w:val="18"/>
                <w:lang w:val="ru-RU" w:bidi="ar-SA"/>
              </w:rPr>
              <w:t>- должен пройти регистрацию на вышеуказанной электронной площадке.</w:t>
            </w:r>
          </w:p>
          <w:p>
            <w:pPr>
              <w:pStyle w:val="Normal"/>
              <w:widowControl/>
              <w:spacing w:before="0" w:after="0"/>
              <w:jc w:val="both"/>
              <w:rPr>
                <w:kern w:val="0"/>
                <w:lang w:val="ru-RU" w:bidi="ar-SA"/>
              </w:rPr>
            </w:pPr>
            <w:r>
              <w:rPr>
                <w:kern w:val="0"/>
                <w:sz w:val="18"/>
                <w:lang w:val="ru-RU" w:bidi="ar-SA"/>
              </w:rPr>
              <w:t>- после регистрации на электронной площадке направляет оператору электронной площадки собственноручно подписанную заявку (форма заявки) и прилагаемые к ней электронные документы.</w:t>
            </w:r>
          </w:p>
          <w:p>
            <w:pPr>
              <w:pStyle w:val="Normal"/>
              <w:widowControl/>
              <w:spacing w:before="0" w:after="0"/>
              <w:jc w:val="both"/>
              <w:rPr>
                <w:b/>
                <w:sz w:val="18"/>
              </w:rPr>
            </w:pPr>
            <w:r>
              <w:rPr>
                <w:b/>
                <w:kern w:val="0"/>
                <w:sz w:val="18"/>
                <w:lang w:val="ru-RU" w:bidi="ar-SA"/>
              </w:rPr>
              <w:t>Все документы входящие в состав заявки, а также заявление установленной формы подаются Заявителем в электронной форме на электронной площадке в формате PDF отдельными файлами.</w:t>
            </w:r>
          </w:p>
          <w:p>
            <w:pPr>
              <w:pStyle w:val="Normal"/>
              <w:widowControl/>
              <w:spacing w:before="0" w:after="0"/>
              <w:jc w:val="both"/>
              <w:rPr>
                <w:b/>
                <w:sz w:val="18"/>
                <w:u w:val="single"/>
              </w:rPr>
            </w:pPr>
            <w:r>
              <w:rPr>
                <w:b/>
                <w:kern w:val="0"/>
                <w:sz w:val="18"/>
                <w:u w:val="single"/>
                <w:lang w:val="ru-RU" w:bidi="ar-SA"/>
              </w:rPr>
              <w:t>Заявка должна содержать следующие сведения о претенденте:</w:t>
            </w:r>
          </w:p>
          <w:p>
            <w:pPr>
              <w:pStyle w:val="Normal"/>
              <w:widowControl/>
              <w:tabs>
                <w:tab w:val="clear" w:pos="708"/>
                <w:tab w:val="left" w:pos="451" w:leader="none"/>
              </w:tabs>
              <w:spacing w:before="0" w:after="0"/>
              <w:ind w:firstLine="167"/>
              <w:jc w:val="both"/>
              <w:rPr>
                <w:sz w:val="18"/>
              </w:rPr>
            </w:pPr>
            <w:r>
              <w:rPr>
                <w:kern w:val="0"/>
                <w:sz w:val="18"/>
                <w:lang w:val="ru-RU" w:bidi="ar-SA"/>
              </w:rPr>
              <w:t>а) фирменное наименование, организационно-правовая форма, местонахождение</w:t>
            </w:r>
          </w:p>
          <w:p>
            <w:pPr>
              <w:pStyle w:val="Normal"/>
              <w:widowControl/>
              <w:tabs>
                <w:tab w:val="clear" w:pos="708"/>
                <w:tab w:val="left" w:pos="451" w:leader="none"/>
                <w:tab w:val="left" w:pos="593" w:leader="none"/>
              </w:tabs>
              <w:spacing w:before="0" w:after="0"/>
              <w:jc w:val="both"/>
              <w:rPr>
                <w:sz w:val="18"/>
              </w:rPr>
            </w:pPr>
            <w:r>
              <w:rPr>
                <w:kern w:val="0"/>
                <w:sz w:val="18"/>
                <w:lang w:val="ru-RU" w:bidi="ar-SA"/>
              </w:rPr>
              <w:t>идентификационный номер налогоплательщика, государственный регистрационный номер записи о создании юридического лица (для юридического лица), фамилия, имя, отчество (при наличии), место жительства, идентификационный номер налогоплательщика (при наличии) (для физического лица);</w:t>
            </w:r>
          </w:p>
          <w:p>
            <w:pPr>
              <w:pStyle w:val="Normal"/>
              <w:widowControl/>
              <w:tabs>
                <w:tab w:val="clear" w:pos="708"/>
                <w:tab w:val="left" w:pos="451" w:leader="none"/>
              </w:tabs>
              <w:spacing w:before="0" w:after="0"/>
              <w:ind w:firstLine="167"/>
              <w:jc w:val="both"/>
              <w:rPr>
                <w:sz w:val="18"/>
              </w:rPr>
            </w:pPr>
            <w:r>
              <w:rPr>
                <w:kern w:val="0"/>
                <w:sz w:val="18"/>
                <w:lang w:val="ru-RU" w:bidi="ar-SA"/>
              </w:rPr>
              <w:t>б) адрес электронной почты для направления уведомлений и иных сведений, номер контактного телефона;</w:t>
            </w:r>
          </w:p>
          <w:p>
            <w:pPr>
              <w:pStyle w:val="Normal"/>
              <w:widowControl/>
              <w:tabs>
                <w:tab w:val="clear" w:pos="708"/>
                <w:tab w:val="left" w:pos="451" w:leader="none"/>
              </w:tabs>
              <w:spacing w:before="0" w:after="0"/>
              <w:ind w:firstLine="167"/>
              <w:jc w:val="both"/>
              <w:rPr>
                <w:sz w:val="18"/>
              </w:rPr>
            </w:pPr>
            <w:r>
              <w:rPr>
                <w:kern w:val="0"/>
                <w:sz w:val="18"/>
                <w:lang w:val="ru-RU" w:bidi="ar-SA"/>
              </w:rPr>
              <w:t>в) обязательство претендента соблюдать требования, указанные в информационном сообщении о проведении аукциона, а также согласие субъекта персональных данных на обработку его персональных данных (для физического лица).</w:t>
            </w:r>
          </w:p>
        </w:tc>
      </w:tr>
      <w:tr>
        <w:trPr>
          <w:trHeight w:val="229" w:hRule="atLeast"/>
        </w:trPr>
        <w:tc>
          <w:tcPr>
            <w:tcW w:w="708" w:type="dxa"/>
            <w:tcBorders/>
          </w:tcPr>
          <w:p>
            <w:pPr>
              <w:pStyle w:val="Normal"/>
              <w:widowControl w:val="false"/>
              <w:tabs>
                <w:tab w:val="clear" w:pos="708"/>
                <w:tab w:val="left" w:pos="3960" w:leader="none"/>
              </w:tabs>
              <w:spacing w:before="0" w:after="0"/>
              <w:jc w:val="center"/>
              <w:rPr>
                <w:rFonts w:eastAsia="Lucida Sans Unicode"/>
                <w:lang w:eastAsia="ar-SA"/>
              </w:rPr>
            </w:pPr>
            <w:r>
              <w:rPr>
                <w:rFonts w:eastAsia="Lucida Sans Unicode"/>
                <w:kern w:val="0"/>
                <w:lang w:val="ru-RU" w:eastAsia="ar-SA" w:bidi="ar-SA"/>
              </w:rPr>
              <w:t>12</w:t>
            </w:r>
          </w:p>
        </w:tc>
        <w:tc>
          <w:tcPr>
            <w:tcW w:w="2269" w:type="dxa"/>
            <w:tcBorders/>
          </w:tcPr>
          <w:p>
            <w:pPr>
              <w:pStyle w:val="Normal"/>
              <w:widowControl w:val="false"/>
              <w:spacing w:before="0" w:after="0"/>
              <w:jc w:val="left"/>
              <w:rPr>
                <w:rFonts w:eastAsia="Lucida Sans Unicode"/>
                <w:sz w:val="18"/>
                <w:lang w:eastAsia="ar-SA"/>
              </w:rPr>
            </w:pPr>
            <w:r>
              <w:rPr>
                <w:rFonts w:eastAsia="Lucida Sans Unicode"/>
                <w:kern w:val="0"/>
                <w:sz w:val="18"/>
                <w:lang w:val="ru-RU" w:eastAsia="ar-SA" w:bidi="ar-SA"/>
              </w:rPr>
              <w:t>Место и форма подачи заявки</w:t>
            </w:r>
          </w:p>
        </w:tc>
        <w:tc>
          <w:tcPr>
            <w:tcW w:w="7795" w:type="dxa"/>
            <w:gridSpan w:val="6"/>
            <w:tcBorders/>
            <w:vAlign w:val="center"/>
          </w:tcPr>
          <w:p>
            <w:pPr>
              <w:pStyle w:val="Normal"/>
              <w:widowControl/>
              <w:spacing w:before="0" w:after="0"/>
              <w:jc w:val="both"/>
              <w:rPr>
                <w:sz w:val="18"/>
                <w:lang w:eastAsia="en-US"/>
              </w:rPr>
            </w:pPr>
            <w:r>
              <w:rPr>
                <w:kern w:val="0"/>
                <w:sz w:val="18"/>
                <w:lang w:val="ru-RU" w:eastAsia="en-US" w:bidi="ar-SA"/>
              </w:rPr>
              <w:t>Заявка подается путем заполнения ее электронной формы, размещенной в открытой части электронной площадки, с приложением электронных документов.</w:t>
            </w:r>
          </w:p>
          <w:p>
            <w:pPr>
              <w:pStyle w:val="Normal"/>
              <w:widowControl/>
              <w:spacing w:before="0" w:after="0"/>
              <w:jc w:val="both"/>
              <w:rPr>
                <w:sz w:val="18"/>
                <w:lang w:eastAsia="en-US"/>
              </w:rPr>
            </w:pPr>
            <w:r>
              <w:rPr>
                <w:kern w:val="0"/>
                <w:sz w:val="18"/>
                <w:lang w:val="ru-RU" w:eastAsia="en-US" w:bidi="ar-SA"/>
              </w:rPr>
              <w:t>Одно лицо имеет право подать только одну заявку.</w:t>
            </w:r>
          </w:p>
          <w:p>
            <w:pPr>
              <w:pStyle w:val="Normal"/>
              <w:widowControl/>
              <w:spacing w:before="0" w:after="0"/>
              <w:jc w:val="both"/>
              <w:rPr>
                <w:b/>
                <w:sz w:val="18"/>
                <w:u w:val="single"/>
                <w:lang w:eastAsia="en-US"/>
              </w:rPr>
            </w:pPr>
            <w:r>
              <w:rPr>
                <w:b/>
                <w:kern w:val="0"/>
                <w:sz w:val="18"/>
                <w:u w:val="single"/>
                <w:lang w:val="ru-RU" w:eastAsia="en-US" w:bidi="ar-SA"/>
              </w:rPr>
              <w:t>К заявке прилагаются следующие документы:</w:t>
            </w:r>
          </w:p>
          <w:p>
            <w:pPr>
              <w:pStyle w:val="Normal"/>
              <w:widowControl w:val="false"/>
              <w:tabs>
                <w:tab w:val="clear" w:pos="708"/>
                <w:tab w:val="left" w:pos="1134" w:leader="none"/>
              </w:tabs>
              <w:spacing w:before="0" w:after="0"/>
              <w:jc w:val="both"/>
              <w:rPr>
                <w:rFonts w:ascii="Times New Roman CYR" w:hAnsi="Times New Roman CYR" w:cs="Times New Roman CYR"/>
                <w:sz w:val="18"/>
                <w:szCs w:val="18"/>
              </w:rPr>
            </w:pPr>
            <w:r>
              <w:rPr>
                <w:rFonts w:cs="Times New Roman CYR" w:ascii="Times New Roman CYR" w:hAnsi="Times New Roman CYR"/>
                <w:kern w:val="0"/>
                <w:sz w:val="18"/>
                <w:szCs w:val="18"/>
                <w:lang w:val="ru-RU" w:bidi="ar-SA"/>
              </w:rPr>
              <w:t xml:space="preserve">- </w:t>
            </w:r>
            <w:r>
              <w:rPr>
                <w:rFonts w:cs="Times New Roman CYR" w:ascii="Times New Roman CYR" w:hAnsi="Times New Roman CYR"/>
                <w:b/>
                <w:kern w:val="0"/>
                <w:sz w:val="18"/>
                <w:szCs w:val="18"/>
                <w:u w:val="single"/>
                <w:lang w:val="ru-RU" w:bidi="ar-SA"/>
              </w:rPr>
              <w:t>для юридических лиц:</w:t>
            </w:r>
            <w:r>
              <w:rPr>
                <w:rFonts w:cs="Times New Roman CYR" w:ascii="Times New Roman CYR" w:hAnsi="Times New Roman CYR"/>
                <w:kern w:val="0"/>
                <w:sz w:val="18"/>
                <w:szCs w:val="18"/>
                <w:lang w:val="ru-RU" w:bidi="ar-SA"/>
              </w:rPr>
              <w:t xml:space="preserve">  заявление на участие в торгах по установленной форме; выписка из ЕГРЮЛ, выданную не более чем за четыре месяца до даты подачи заявки на участие в торгах; нотариально заверенные копии учредительных документов и свидетельства о государственной регистрации; надлежащим образом оформленные и заверенные документы, подтверждающие полномочия органов управления и должностных лиц претендента; надлежащим образом оформленное письменное решение соответствующего органа управления претендента о приобретении указанного имущества, в случае если это предусмотрено учредительными документами претендента;  копия бухгалтерского баланса с отметкой налогового органа на последнюю отчетную дату. Иностранные юридические лица допускаются к участию в торгах с соблюдением требований, установленных законодательством Российской Федерации.</w:t>
            </w:r>
          </w:p>
          <w:p>
            <w:pPr>
              <w:pStyle w:val="Normal"/>
              <w:widowControl w:val="false"/>
              <w:tabs>
                <w:tab w:val="clear" w:pos="708"/>
                <w:tab w:val="left" w:pos="1134" w:leader="none"/>
              </w:tabs>
              <w:spacing w:before="0" w:after="0"/>
              <w:jc w:val="both"/>
              <w:rPr>
                <w:rFonts w:ascii="Times New Roman CYR" w:hAnsi="Times New Roman CYR" w:cs="Times New Roman CYR"/>
                <w:sz w:val="18"/>
                <w:szCs w:val="18"/>
              </w:rPr>
            </w:pPr>
            <w:r>
              <w:rPr>
                <w:rFonts w:cs="Times New Roman CYR" w:ascii="Times New Roman CYR" w:hAnsi="Times New Roman CYR"/>
                <w:kern w:val="0"/>
                <w:sz w:val="18"/>
                <w:szCs w:val="18"/>
                <w:lang w:val="ru-RU" w:bidi="ar-SA"/>
              </w:rPr>
              <w:t xml:space="preserve">- </w:t>
            </w:r>
            <w:r>
              <w:rPr>
                <w:rFonts w:cs="Times New Roman CYR" w:ascii="Times New Roman CYR" w:hAnsi="Times New Roman CYR"/>
                <w:b/>
                <w:kern w:val="0"/>
                <w:sz w:val="18"/>
                <w:szCs w:val="18"/>
                <w:u w:val="single"/>
                <w:lang w:val="ru-RU" w:bidi="ar-SA"/>
              </w:rPr>
              <w:t>для физических лиц:</w:t>
            </w:r>
            <w:r>
              <w:rPr>
                <w:rFonts w:cs="Times New Roman CYR" w:ascii="Times New Roman CYR" w:hAnsi="Times New Roman CYR"/>
                <w:kern w:val="0"/>
                <w:sz w:val="18"/>
                <w:szCs w:val="18"/>
                <w:lang w:val="ru-RU" w:bidi="ar-SA"/>
              </w:rPr>
              <w:t xml:space="preserve"> заявление на участие в торгах по установленной форме; копия паспорта заявителя (все страницы), согласно Постановлению Правительства РФ от 08.07.1997 № 828 (ред. от 20.11.2018) «Об утверждении Положения о паспорте гражданина Российской Федерации, образца бланка и описания паспорта гражданина Российской Федерации»; нотариально заверенная доверенность представителя физического лица, </w:t>
            </w:r>
            <w:r>
              <w:rPr>
                <w:rFonts w:cs="Times New Roman CYR" w:ascii="Times New Roman CYR" w:hAnsi="Times New Roman CYR"/>
                <w:color w:val="000000"/>
                <w:kern w:val="0"/>
                <w:sz w:val="18"/>
                <w:szCs w:val="18"/>
                <w:lang w:val="ru-RU" w:bidi="ar-SA"/>
              </w:rPr>
              <w:t>копия ИНН (при наличии). Иностранные физические лица допускаются к участию в торгах с соблюдением требований, установленных законодательством Российской Федерации</w:t>
            </w:r>
          </w:p>
          <w:p>
            <w:pPr>
              <w:pStyle w:val="Normal"/>
              <w:widowControl/>
              <w:spacing w:before="0" w:after="0"/>
              <w:jc w:val="both"/>
              <w:rPr>
                <w:sz w:val="18"/>
              </w:rPr>
            </w:pPr>
            <w:r>
              <w:rPr>
                <w:kern w:val="0"/>
                <w:sz w:val="18"/>
                <w:lang w:val="ru-RU" w:eastAsia="en-US" w:bidi="ar-SA"/>
              </w:rPr>
              <w:t>Указанные сведения направляются оператору электронной площадки в виде электронных документов, заверенных электронной подписью претендента либо лица, имеющего право действовать от имени претендента.</w:t>
            </w:r>
          </w:p>
        </w:tc>
      </w:tr>
      <w:tr>
        <w:trPr>
          <w:trHeight w:val="2063" w:hRule="atLeast"/>
        </w:trPr>
        <w:tc>
          <w:tcPr>
            <w:tcW w:w="708" w:type="dxa"/>
            <w:tcBorders/>
          </w:tcPr>
          <w:p>
            <w:pPr>
              <w:pStyle w:val="Normal"/>
              <w:widowControl w:val="false"/>
              <w:tabs>
                <w:tab w:val="clear" w:pos="708"/>
                <w:tab w:val="left" w:pos="3960" w:leader="none"/>
              </w:tabs>
              <w:spacing w:before="0" w:after="0"/>
              <w:jc w:val="center"/>
              <w:rPr>
                <w:rFonts w:eastAsia="Lucida Sans Unicode"/>
                <w:sz w:val="18"/>
                <w:lang w:eastAsia="ar-SA"/>
              </w:rPr>
            </w:pPr>
            <w:r>
              <w:rPr>
                <w:rFonts w:eastAsia="Lucida Sans Unicode"/>
                <w:kern w:val="0"/>
                <w:sz w:val="18"/>
                <w:lang w:val="ru-RU" w:eastAsia="ar-SA" w:bidi="ar-SA"/>
              </w:rPr>
              <w:t>13</w:t>
            </w:r>
          </w:p>
        </w:tc>
        <w:tc>
          <w:tcPr>
            <w:tcW w:w="2269" w:type="dxa"/>
            <w:tcBorders/>
          </w:tcPr>
          <w:p>
            <w:pPr>
              <w:pStyle w:val="Normal"/>
              <w:widowControl w:val="false"/>
              <w:spacing w:before="0" w:after="0"/>
              <w:jc w:val="left"/>
              <w:rPr>
                <w:rFonts w:eastAsia="Lucida Sans Unicode"/>
                <w:sz w:val="18"/>
                <w:lang w:eastAsia="ar-SA"/>
              </w:rPr>
            </w:pPr>
            <w:r>
              <w:rPr>
                <w:rFonts w:eastAsia="Lucida Sans Unicode"/>
                <w:kern w:val="0"/>
                <w:sz w:val="18"/>
                <w:lang w:val="ru-RU" w:eastAsia="ar-SA" w:bidi="ar-SA"/>
              </w:rPr>
              <w:t xml:space="preserve">Порядок проведения аукциона </w:t>
            </w:r>
            <w:r>
              <w:rPr>
                <w:kern w:val="0"/>
                <w:sz w:val="18"/>
                <w:lang w:val="ru-RU" w:bidi="ar-SA"/>
              </w:rPr>
              <w:t>в электронной форме</w:t>
            </w:r>
          </w:p>
        </w:tc>
        <w:tc>
          <w:tcPr>
            <w:tcW w:w="7795" w:type="dxa"/>
            <w:gridSpan w:val="6"/>
            <w:tcBorders/>
            <w:vAlign w:val="center"/>
          </w:tcPr>
          <w:p>
            <w:pPr>
              <w:pStyle w:val="Normal"/>
              <w:widowControl/>
              <w:spacing w:before="0" w:after="0"/>
              <w:jc w:val="both"/>
              <w:rPr>
                <w:rFonts w:eastAsia="Arial"/>
                <w:sz w:val="18"/>
                <w:lang w:eastAsia="ar-SA"/>
              </w:rPr>
            </w:pPr>
            <w:r>
              <w:rPr>
                <w:rFonts w:eastAsia="Arial"/>
                <w:kern w:val="0"/>
                <w:sz w:val="18"/>
                <w:lang w:val="ru-RU" w:eastAsia="ar-SA" w:bidi="ar-SA"/>
              </w:rPr>
              <w:t xml:space="preserve">В течение одного часа со времени начала проведения процедуры аукциона </w:t>
            </w:r>
            <w:r>
              <w:rPr>
                <w:kern w:val="0"/>
                <w:sz w:val="18"/>
                <w:lang w:val="ru-RU" w:bidi="ar-SA"/>
              </w:rPr>
              <w:t>в электронной форме</w:t>
            </w:r>
            <w:r>
              <w:rPr>
                <w:rFonts w:eastAsia="Arial"/>
                <w:kern w:val="0"/>
                <w:sz w:val="18"/>
                <w:lang w:val="ru-RU" w:eastAsia="ar-SA" w:bidi="ar-SA"/>
              </w:rPr>
              <w:t xml:space="preserve"> участникам предлагается заявить о приобретении имущества по начальной или сниженной цене продажи имущества.</w:t>
            </w:r>
          </w:p>
          <w:p>
            <w:pPr>
              <w:pStyle w:val="Normal"/>
              <w:widowControl/>
              <w:spacing w:before="0" w:after="0"/>
              <w:jc w:val="both"/>
              <w:rPr>
                <w:rFonts w:eastAsia="Arial"/>
                <w:sz w:val="18"/>
                <w:lang w:eastAsia="ar-SA"/>
              </w:rPr>
            </w:pPr>
            <w:r>
              <w:rPr>
                <w:rFonts w:eastAsia="Arial"/>
                <w:kern w:val="0"/>
                <w:sz w:val="18"/>
                <w:lang w:val="ru-RU" w:eastAsia="ar-SA" w:bidi="ar-SA"/>
              </w:rPr>
              <w:t>В случае если в течение указанного времени:</w:t>
            </w:r>
          </w:p>
          <w:p>
            <w:pPr>
              <w:pStyle w:val="Normal"/>
              <w:widowControl/>
              <w:spacing w:before="0" w:after="0"/>
              <w:ind w:firstLine="167"/>
              <w:jc w:val="both"/>
              <w:rPr>
                <w:rFonts w:eastAsia="Arial"/>
                <w:sz w:val="18"/>
                <w:lang w:eastAsia="ar-SA"/>
              </w:rPr>
            </w:pPr>
            <w:r>
              <w:rPr>
                <w:rFonts w:eastAsia="Arial"/>
                <w:kern w:val="0"/>
                <w:sz w:val="18"/>
                <w:lang w:val="ru-RU" w:eastAsia="ar-SA" w:bidi="ar-SA"/>
              </w:rPr>
              <w:t>А) поступило предложение о начальной или сниженной цене продажи имущества, то время для представления следующих предложений об увеличенной на «шаг аукциона» начальной или сниженной  цене продажи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pPr>
              <w:pStyle w:val="Normal"/>
              <w:widowControl/>
              <w:spacing w:before="0" w:after="0"/>
              <w:ind w:firstLine="167"/>
              <w:jc w:val="both"/>
              <w:rPr>
                <w:rFonts w:eastAsia="Arial"/>
                <w:sz w:val="18"/>
                <w:lang w:eastAsia="ar-SA"/>
              </w:rPr>
            </w:pPr>
            <w:r>
              <w:rPr>
                <w:rFonts w:eastAsia="Arial"/>
                <w:kern w:val="0"/>
                <w:sz w:val="18"/>
                <w:lang w:val="ru-RU" w:eastAsia="ar-SA" w:bidi="ar-SA"/>
              </w:rPr>
              <w:t>Б) не поступило ни одного предложения о начальной или сниженной цене продажи имущества,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pPr>
              <w:pStyle w:val="Normal"/>
              <w:widowControl/>
              <w:spacing w:before="0" w:after="0"/>
              <w:jc w:val="both"/>
              <w:rPr>
                <w:rFonts w:eastAsia="Arial"/>
                <w:sz w:val="18"/>
                <w:lang w:eastAsia="ar-SA"/>
              </w:rPr>
            </w:pPr>
            <w:r>
              <w:rPr>
                <w:rFonts w:eastAsia="Arial"/>
                <w:kern w:val="0"/>
                <w:sz w:val="18"/>
                <w:lang w:val="ru-RU" w:eastAsia="ar-SA" w:bidi="ar-SA"/>
              </w:rPr>
              <w:t>Победителем аукциона признается участник, предложивший наиболее высокую цену имущества.</w:t>
            </w:r>
          </w:p>
          <w:p>
            <w:pPr>
              <w:pStyle w:val="Normal"/>
              <w:widowControl/>
              <w:spacing w:before="0" w:after="0"/>
              <w:jc w:val="both"/>
              <w:rPr>
                <w:rFonts w:eastAsia="Arial"/>
                <w:sz w:val="18"/>
                <w:lang w:eastAsia="ar-SA"/>
              </w:rPr>
            </w:pPr>
            <w:r>
              <w:rPr>
                <w:rFonts w:eastAsia="Arial"/>
                <w:kern w:val="0"/>
                <w:sz w:val="18"/>
                <w:lang w:val="ru-RU" w:eastAsia="ar-SA" w:bidi="ar-SA"/>
              </w:rPr>
              <w:t>Подведение итогов аукциона оформляется протоколом об итогах аукциона.</w:t>
            </w:r>
          </w:p>
          <w:p>
            <w:pPr>
              <w:pStyle w:val="Normal"/>
              <w:widowControl/>
              <w:spacing w:before="0" w:after="0"/>
              <w:jc w:val="both"/>
              <w:rPr>
                <w:rFonts w:eastAsia="Arial"/>
                <w:sz w:val="18"/>
                <w:lang w:eastAsia="ar-SA"/>
              </w:rPr>
            </w:pPr>
            <w:r>
              <w:rPr>
                <w:rFonts w:eastAsia="Arial"/>
                <w:kern w:val="0"/>
                <w:sz w:val="18"/>
                <w:lang w:val="ru-RU" w:eastAsia="ar-SA" w:bidi="ar-SA"/>
              </w:rPr>
              <w:t>Протокол об итогах аукциона, содержащий цену имущества, предложенную победителем, и удостоверяющий право победителя на заключение договора купли-продажи имущества или фиксирующий отсутствие предложений о начальной или сниженной цене продажи имущества, подписывается продавцом в форме электронного документа в течение одного часа со времени получения электронного журнала.</w:t>
            </w:r>
          </w:p>
          <w:p>
            <w:pPr>
              <w:pStyle w:val="Normal"/>
              <w:widowControl/>
              <w:spacing w:before="0" w:after="0"/>
              <w:jc w:val="both"/>
              <w:rPr>
                <w:rFonts w:eastAsia="Arial"/>
                <w:b/>
                <w:sz w:val="18"/>
                <w:highlight w:val="yellow"/>
                <w:lang w:eastAsia="ar-SA"/>
              </w:rPr>
            </w:pPr>
            <w:r>
              <w:rPr>
                <w:rFonts w:eastAsia="Arial"/>
                <w:kern w:val="0"/>
                <w:sz w:val="18"/>
                <w:lang w:val="ru-RU" w:eastAsia="ar-SA" w:bidi="ar-SA"/>
              </w:rPr>
              <w:t>Протокол об итогах аукциона является документом, удостоверяющим право победителя на заключение договора купли-продажи имущества.</w:t>
            </w:r>
          </w:p>
        </w:tc>
      </w:tr>
      <w:tr>
        <w:trPr>
          <w:trHeight w:val="345" w:hRule="atLeast"/>
        </w:trPr>
        <w:tc>
          <w:tcPr>
            <w:tcW w:w="708" w:type="dxa"/>
            <w:tcBorders/>
          </w:tcPr>
          <w:p>
            <w:pPr>
              <w:pStyle w:val="Normal"/>
              <w:widowControl w:val="false"/>
              <w:tabs>
                <w:tab w:val="clear" w:pos="708"/>
                <w:tab w:val="left" w:pos="3960" w:leader="none"/>
              </w:tabs>
              <w:spacing w:before="0" w:after="0"/>
              <w:jc w:val="center"/>
              <w:rPr>
                <w:rFonts w:eastAsia="Lucida Sans Unicode"/>
                <w:sz w:val="18"/>
                <w:lang w:eastAsia="ar-SA"/>
              </w:rPr>
            </w:pPr>
            <w:r>
              <w:rPr>
                <w:rFonts w:eastAsia="Lucida Sans Unicode"/>
                <w:kern w:val="0"/>
                <w:sz w:val="18"/>
                <w:lang w:val="ru-RU" w:eastAsia="ar-SA" w:bidi="ar-SA"/>
              </w:rPr>
              <w:t>14</w:t>
            </w:r>
          </w:p>
        </w:tc>
        <w:tc>
          <w:tcPr>
            <w:tcW w:w="2269" w:type="dxa"/>
            <w:tcBorders/>
          </w:tcPr>
          <w:p>
            <w:pPr>
              <w:pStyle w:val="Normal"/>
              <w:widowControl/>
              <w:spacing w:before="0" w:after="0"/>
              <w:jc w:val="left"/>
              <w:rPr>
                <w:sz w:val="18"/>
              </w:rPr>
            </w:pPr>
            <w:r>
              <w:rPr>
                <w:kern w:val="0"/>
                <w:sz w:val="18"/>
                <w:lang w:val="ru-RU" w:bidi="ar-SA"/>
              </w:rPr>
              <w:t>Проект договора купли-продажи имущества</w:t>
            </w:r>
          </w:p>
        </w:tc>
        <w:tc>
          <w:tcPr>
            <w:tcW w:w="7795" w:type="dxa"/>
            <w:gridSpan w:val="6"/>
            <w:tcBorders/>
          </w:tcPr>
          <w:p>
            <w:pPr>
              <w:pStyle w:val="NoSpacing"/>
              <w:widowControl/>
              <w:spacing w:before="0" w:after="0"/>
              <w:jc w:val="both"/>
              <w:rPr>
                <w:rFonts w:ascii="Times New Roman" w:hAnsi="Times New Roman"/>
                <w:sz w:val="18"/>
                <w:szCs w:val="20"/>
                <w:lang w:eastAsia="ru-RU"/>
              </w:rPr>
            </w:pPr>
            <w:r>
              <w:rPr>
                <w:rFonts w:eastAsia="Calibri" w:cs="Arial" w:ascii="Times New Roman" w:hAnsi="Times New Roman"/>
                <w:kern w:val="0"/>
                <w:sz w:val="18"/>
                <w:szCs w:val="20"/>
                <w:lang w:val="ru-RU" w:eastAsia="ru-RU" w:bidi="ar-SA"/>
              </w:rPr>
              <w:t>Образец прикреплен в приложении к настоящему извещению.</w:t>
            </w:r>
          </w:p>
        </w:tc>
      </w:tr>
      <w:tr>
        <w:trPr>
          <w:trHeight w:val="513" w:hRule="atLeast"/>
        </w:trPr>
        <w:tc>
          <w:tcPr>
            <w:tcW w:w="708" w:type="dxa"/>
            <w:tcBorders/>
          </w:tcPr>
          <w:p>
            <w:pPr>
              <w:pStyle w:val="Normal"/>
              <w:widowControl w:val="false"/>
              <w:tabs>
                <w:tab w:val="clear" w:pos="708"/>
                <w:tab w:val="left" w:pos="3960" w:leader="none"/>
              </w:tabs>
              <w:spacing w:before="0" w:after="0"/>
              <w:jc w:val="center"/>
              <w:rPr>
                <w:rFonts w:eastAsia="Lucida Sans Unicode"/>
                <w:sz w:val="18"/>
                <w:lang w:eastAsia="ar-SA"/>
              </w:rPr>
            </w:pPr>
            <w:r>
              <w:rPr>
                <w:rFonts w:eastAsia="Lucida Sans Unicode"/>
                <w:kern w:val="0"/>
                <w:sz w:val="18"/>
                <w:lang w:val="ru-RU" w:eastAsia="ar-SA" w:bidi="ar-SA"/>
              </w:rPr>
              <w:t>15</w:t>
            </w:r>
          </w:p>
        </w:tc>
        <w:tc>
          <w:tcPr>
            <w:tcW w:w="2269" w:type="dxa"/>
            <w:tcBorders/>
          </w:tcPr>
          <w:p>
            <w:pPr>
              <w:pStyle w:val="Normal"/>
              <w:widowControl/>
              <w:spacing w:before="0" w:after="0"/>
              <w:jc w:val="left"/>
              <w:rPr>
                <w:sz w:val="18"/>
              </w:rPr>
            </w:pPr>
            <w:r>
              <w:rPr>
                <w:kern w:val="0"/>
                <w:sz w:val="18"/>
                <w:lang w:val="ru-RU" w:bidi="ar-SA"/>
              </w:rPr>
              <w:t>Срок подписания и оплата по договору купли-продажи. Передача имущества.</w:t>
            </w:r>
          </w:p>
          <w:p>
            <w:pPr>
              <w:pStyle w:val="Normal"/>
              <w:widowControl w:val="false"/>
              <w:spacing w:before="0" w:after="0"/>
              <w:jc w:val="left"/>
              <w:rPr>
                <w:rFonts w:eastAsia="Lucida Sans Unicode"/>
                <w:sz w:val="18"/>
                <w:lang w:eastAsia="ar-SA"/>
              </w:rPr>
            </w:pPr>
            <w:r>
              <w:rPr>
                <w:rFonts w:eastAsia="Lucida Sans Unicode"/>
                <w:kern w:val="0"/>
                <w:sz w:val="18"/>
                <w:lang w:val="ru-RU" w:eastAsia="ar-SA" w:bidi="ar-SA"/>
              </w:rPr>
            </w:r>
          </w:p>
        </w:tc>
        <w:tc>
          <w:tcPr>
            <w:tcW w:w="7795" w:type="dxa"/>
            <w:gridSpan w:val="6"/>
            <w:tcBorders/>
          </w:tcPr>
          <w:p>
            <w:pPr>
              <w:pStyle w:val="NoSpacing"/>
              <w:widowControl/>
              <w:spacing w:before="0" w:after="0"/>
              <w:ind w:firstLine="309"/>
              <w:jc w:val="both"/>
              <w:rPr>
                <w:rFonts w:ascii="Times New Roman" w:hAnsi="Times New Roman"/>
                <w:sz w:val="18"/>
                <w:szCs w:val="20"/>
                <w:lang w:eastAsia="ru-RU"/>
              </w:rPr>
            </w:pPr>
            <w:r>
              <w:rPr>
                <w:rFonts w:eastAsia="Calibri" w:cs="Arial" w:ascii="Times New Roman" w:hAnsi="Times New Roman"/>
                <w:kern w:val="0"/>
                <w:sz w:val="18"/>
                <w:szCs w:val="20"/>
                <w:lang w:val="ru-RU" w:eastAsia="ru-RU" w:bidi="ar-SA"/>
              </w:rPr>
              <w:t xml:space="preserve">По результатам проведенного аукциона </w:t>
            </w:r>
            <w:r>
              <w:rPr>
                <w:rFonts w:eastAsia="Calibri" w:cs="Arial" w:ascii="Times New Roman" w:hAnsi="Times New Roman"/>
                <w:kern w:val="0"/>
                <w:sz w:val="18"/>
                <w:szCs w:val="20"/>
                <w:lang w:val="ru-RU" w:eastAsia="en-US" w:bidi="ar-SA"/>
              </w:rPr>
              <w:t>в электронной форме</w:t>
            </w:r>
            <w:r>
              <w:rPr>
                <w:rFonts w:eastAsia="Calibri" w:cs="Arial" w:ascii="Times New Roman" w:hAnsi="Times New Roman"/>
                <w:kern w:val="0"/>
                <w:sz w:val="18"/>
                <w:szCs w:val="20"/>
                <w:lang w:val="ru-RU" w:eastAsia="ru-RU" w:bidi="ar-SA"/>
              </w:rPr>
              <w:t xml:space="preserve"> продавец и победитель аукциона (покупатель) </w:t>
            </w:r>
            <w:r>
              <w:rPr>
                <w:rFonts w:eastAsia="Calibri" w:cs="Arial" w:ascii="Times New Roman" w:hAnsi="Times New Roman"/>
                <w:b/>
                <w:kern w:val="0"/>
                <w:sz w:val="18"/>
                <w:szCs w:val="20"/>
                <w:lang w:val="ru-RU" w:eastAsia="ru-RU" w:bidi="ar-SA"/>
              </w:rPr>
              <w:t>не ранее 10 рабочих дней и не позднее 15 рабочих дней со дня подведения итогов аукциона  заключает договор купли-продажи имущества в электронной форме</w:t>
            </w:r>
            <w:r>
              <w:rPr>
                <w:rFonts w:eastAsia="Calibri" w:cs="Arial" w:ascii="Times New Roman" w:hAnsi="Times New Roman"/>
                <w:kern w:val="0"/>
                <w:sz w:val="18"/>
                <w:szCs w:val="20"/>
                <w:lang w:val="ru-RU" w:eastAsia="ru-RU" w:bidi="ar-SA"/>
              </w:rPr>
              <w:t>.</w:t>
            </w:r>
          </w:p>
          <w:p>
            <w:pPr>
              <w:pStyle w:val="NoSpacing"/>
              <w:widowControl/>
              <w:spacing w:before="0" w:after="0"/>
              <w:ind w:firstLine="309"/>
              <w:jc w:val="both"/>
              <w:rPr>
                <w:rFonts w:ascii="Times New Roman" w:hAnsi="Times New Roman"/>
                <w:sz w:val="18"/>
                <w:szCs w:val="20"/>
                <w:lang w:eastAsia="ru-RU"/>
              </w:rPr>
            </w:pPr>
            <w:r>
              <w:rPr>
                <w:rFonts w:eastAsia="Calibri" w:cs="Arial" w:ascii="Times New Roman" w:hAnsi="Times New Roman"/>
                <w:kern w:val="0"/>
                <w:sz w:val="18"/>
                <w:szCs w:val="20"/>
                <w:lang w:val="ru-RU" w:eastAsia="ru-RU" w:bidi="ar-SA"/>
              </w:rPr>
              <w:t>При уклонении или отказе победителя аукциона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pPr>
              <w:pStyle w:val="NoSpacing"/>
              <w:widowControl/>
              <w:spacing w:before="0" w:after="0"/>
              <w:ind w:firstLine="309"/>
              <w:jc w:val="both"/>
              <w:rPr>
                <w:rFonts w:ascii="Times New Roman" w:hAnsi="Times New Roman"/>
                <w:sz w:val="18"/>
                <w:szCs w:val="20"/>
                <w:lang w:eastAsia="ru-RU"/>
              </w:rPr>
            </w:pPr>
            <w:r>
              <w:rPr>
                <w:rFonts w:eastAsia="Calibri" w:cs="Arial" w:ascii="Times New Roman" w:hAnsi="Times New Roman"/>
                <w:kern w:val="0"/>
                <w:sz w:val="18"/>
                <w:szCs w:val="20"/>
                <w:lang w:val="ru-RU" w:eastAsia="ru-RU" w:bidi="ar-SA"/>
              </w:rPr>
              <w:t>Проект договора купли-продажи имущества, обращенного в собственность государства, является приложением к настоящему извещению.</w:t>
            </w:r>
          </w:p>
          <w:p>
            <w:pPr>
              <w:pStyle w:val="NoSpacing"/>
              <w:widowControl/>
              <w:spacing w:before="0" w:after="0"/>
              <w:ind w:firstLine="309"/>
              <w:jc w:val="both"/>
              <w:rPr>
                <w:rFonts w:ascii="Times New Roman" w:hAnsi="Times New Roman"/>
                <w:sz w:val="18"/>
                <w:szCs w:val="20"/>
                <w:lang w:eastAsia="ru-RU"/>
              </w:rPr>
            </w:pPr>
            <w:r>
              <w:rPr>
                <w:rFonts w:eastAsia="Calibri" w:cs="Arial" w:ascii="Times New Roman" w:hAnsi="Times New Roman"/>
                <w:kern w:val="0"/>
                <w:sz w:val="18"/>
                <w:szCs w:val="20"/>
                <w:lang w:val="ru-RU" w:eastAsia="ru-RU" w:bidi="ar-SA"/>
              </w:rPr>
              <w:t>Внесенный покупателем задаток засчитывается в счет оплаты приобретаемого имущества.</w:t>
            </w:r>
          </w:p>
          <w:p>
            <w:pPr>
              <w:pStyle w:val="NoSpacing"/>
              <w:widowControl/>
              <w:spacing w:before="0" w:after="0"/>
              <w:ind w:firstLine="309"/>
              <w:jc w:val="both"/>
              <w:rPr>
                <w:rFonts w:ascii="Times New Roman" w:hAnsi="Times New Roman"/>
                <w:sz w:val="18"/>
                <w:szCs w:val="20"/>
                <w:lang w:eastAsia="ru-RU"/>
              </w:rPr>
            </w:pPr>
            <w:r>
              <w:rPr>
                <w:rFonts w:eastAsia="Calibri" w:cs="Arial" w:ascii="Times New Roman" w:hAnsi="Times New Roman"/>
                <w:kern w:val="0"/>
                <w:sz w:val="18"/>
                <w:szCs w:val="20"/>
                <w:lang w:val="ru-RU" w:eastAsia="ru-RU" w:bidi="ar-SA"/>
              </w:rPr>
              <w:t>Оплата имущества осуществляется в безналичном порядке, не позднее 10 рабочих дней с момента подписания Договора в соответствии с условиями и порядком, установленными в проекте договора.</w:t>
            </w:r>
          </w:p>
          <w:p>
            <w:pPr>
              <w:pStyle w:val="NoSpacing"/>
              <w:widowControl/>
              <w:spacing w:before="0" w:after="0"/>
              <w:ind w:firstLine="309"/>
              <w:jc w:val="both"/>
              <w:rPr>
                <w:rFonts w:ascii="Times New Roman" w:hAnsi="Times New Roman"/>
                <w:bCs/>
                <w:sz w:val="18"/>
                <w:szCs w:val="18"/>
                <w:lang w:eastAsia="ar-SA"/>
              </w:rPr>
            </w:pPr>
            <w:r>
              <w:rPr>
                <w:rFonts w:eastAsia="Calibri" w:cs="Arial" w:ascii="Times New Roman" w:hAnsi="Times New Roman"/>
                <w:bCs/>
                <w:kern w:val="0"/>
                <w:sz w:val="18"/>
                <w:szCs w:val="20"/>
                <w:lang w:val="ru-RU" w:eastAsia="ar-SA" w:bidi="ar-SA"/>
              </w:rPr>
              <w:t xml:space="preserve">Оплата производится путем перечисления денежных средств по реквизитам </w:t>
            </w:r>
            <w:r>
              <w:rPr>
                <w:rFonts w:eastAsia="Calibri" w:cs="Arial" w:ascii="Times New Roman" w:hAnsi="Times New Roman"/>
                <w:bCs/>
                <w:kern w:val="0"/>
                <w:sz w:val="18"/>
                <w:szCs w:val="18"/>
                <w:lang w:val="ru-RU" w:eastAsia="ar-SA" w:bidi="ar-SA"/>
              </w:rPr>
              <w:t>Межрегионального Территориального управления Федерального агентства по управлению государственным имуществом в Красноярском крае, Республике Хакасия и Республике Тыва:</w:t>
            </w:r>
          </w:p>
          <w:p>
            <w:pPr>
              <w:pStyle w:val="NoSpacing"/>
              <w:widowControl/>
              <w:spacing w:before="0" w:after="0"/>
              <w:ind w:firstLine="309"/>
              <w:jc w:val="both"/>
              <w:rPr>
                <w:rFonts w:ascii="Times New Roman" w:hAnsi="Times New Roman"/>
                <w:bCs/>
                <w:sz w:val="18"/>
                <w:szCs w:val="18"/>
                <w:lang w:eastAsia="ar-SA"/>
              </w:rPr>
            </w:pPr>
            <w:r>
              <w:rPr>
                <w:rFonts w:eastAsia="Calibri" w:cs="Arial" w:ascii="Times New Roman" w:hAnsi="Times New Roman"/>
                <w:bCs/>
                <w:kern w:val="0"/>
                <w:sz w:val="18"/>
                <w:szCs w:val="18"/>
                <w:lang w:val="ru-RU" w:eastAsia="ar-SA" w:bidi="ar-SA"/>
              </w:rPr>
              <w:t>Не позднее 10 рабочих дней с момента подписания Договора Покупатель перечисляет Продавцу цену Имущества, указанную в пункте 3.1 Договора, за вычетом суммы задатка и суммы налогов, предъявленных продавцом покупателю.</w:t>
            </w:r>
          </w:p>
          <w:p>
            <w:pPr>
              <w:pStyle w:val="NoSpacing"/>
              <w:widowControl/>
              <w:spacing w:before="0" w:after="0"/>
              <w:ind w:firstLine="309"/>
              <w:jc w:val="both"/>
              <w:rPr>
                <w:rFonts w:ascii="Times New Roman" w:hAnsi="Times New Roman"/>
                <w:sz w:val="18"/>
                <w:szCs w:val="18"/>
                <w:highlight w:val="none"/>
                <w:lang w:eastAsia="ar-SA"/>
              </w:rPr>
            </w:pPr>
            <w:r>
              <w:rPr>
                <w:rFonts w:eastAsia="Calibri" w:cs="Arial" w:ascii="Times New Roman" w:hAnsi="Times New Roman"/>
                <w:bCs/>
                <w:kern w:val="0"/>
                <w:sz w:val="18"/>
                <w:szCs w:val="18"/>
                <w:lang w:val="ru-RU" w:eastAsia="ar-SA" w:bidi="ar-SA"/>
              </w:rPr>
              <w:t>Оплата указанной суммы производится путем перечисления денежных средств по реквизитам</w:t>
            </w:r>
          </w:p>
          <w:p>
            <w:pPr>
              <w:pStyle w:val="NoSpacing"/>
              <w:widowControl/>
              <w:spacing w:before="0" w:after="0"/>
              <w:ind w:hanging="0"/>
              <w:jc w:val="both"/>
              <w:rPr>
                <w:rFonts w:ascii="Times New Roman" w:hAnsi="Times New Roman"/>
                <w:sz w:val="18"/>
                <w:szCs w:val="18"/>
                <w:lang w:eastAsia="ar-SA"/>
              </w:rPr>
            </w:pPr>
            <w:r>
              <w:rPr>
                <w:rFonts w:eastAsia="Calibri" w:cs="Arial" w:ascii="Times New Roman" w:hAnsi="Times New Roman"/>
                <w:bCs/>
                <w:kern w:val="0"/>
                <w:sz w:val="18"/>
                <w:szCs w:val="18"/>
                <w:lang w:val="ru-RU" w:eastAsia="ar-SA" w:bidi="ar-SA"/>
              </w:rPr>
              <w:t>указанным в Договоре заключенным покупателем по результатам аукциона.</w:t>
            </w:r>
          </w:p>
        </w:tc>
      </w:tr>
      <w:tr>
        <w:trPr>
          <w:trHeight w:val="513" w:hRule="atLeast"/>
        </w:trPr>
        <w:tc>
          <w:tcPr>
            <w:tcW w:w="708" w:type="dxa"/>
            <w:tcBorders/>
          </w:tcPr>
          <w:p>
            <w:pPr>
              <w:pStyle w:val="Normal"/>
              <w:widowControl w:val="false"/>
              <w:tabs>
                <w:tab w:val="clear" w:pos="708"/>
                <w:tab w:val="left" w:pos="3960" w:leader="none"/>
              </w:tabs>
              <w:spacing w:before="0" w:after="0"/>
              <w:jc w:val="center"/>
              <w:rPr>
                <w:rFonts w:eastAsia="Lucida Sans Unicode"/>
                <w:sz w:val="18"/>
                <w:lang w:eastAsia="ar-SA"/>
              </w:rPr>
            </w:pPr>
            <w:r>
              <w:rPr>
                <w:rFonts w:eastAsia="Lucida Sans Unicode"/>
                <w:kern w:val="0"/>
                <w:sz w:val="18"/>
                <w:lang w:val="ru-RU" w:eastAsia="ar-SA" w:bidi="ar-SA"/>
              </w:rPr>
              <w:t>16</w:t>
            </w:r>
          </w:p>
        </w:tc>
        <w:tc>
          <w:tcPr>
            <w:tcW w:w="2269" w:type="dxa"/>
            <w:tcBorders/>
          </w:tcPr>
          <w:p>
            <w:pPr>
              <w:pStyle w:val="Normal"/>
              <w:widowControl/>
              <w:spacing w:before="0" w:after="0"/>
              <w:jc w:val="left"/>
              <w:rPr>
                <w:sz w:val="18"/>
              </w:rPr>
            </w:pPr>
            <w:r>
              <w:rPr>
                <w:rFonts w:eastAsia="Lucida Sans Unicode"/>
                <w:kern w:val="0"/>
                <w:sz w:val="18"/>
                <w:szCs w:val="18"/>
                <w:lang w:val="ru-RU" w:eastAsia="ar-SA" w:bidi="ar-SA"/>
              </w:rPr>
              <w:t>Сроки и порядок передачи имущества</w:t>
            </w:r>
          </w:p>
        </w:tc>
        <w:tc>
          <w:tcPr>
            <w:tcW w:w="7795" w:type="dxa"/>
            <w:gridSpan w:val="6"/>
            <w:tcBorders/>
          </w:tcPr>
          <w:p>
            <w:pPr>
              <w:pStyle w:val="NoSpacing"/>
              <w:widowControl/>
              <w:spacing w:before="0" w:after="0"/>
              <w:ind w:firstLine="309"/>
              <w:jc w:val="both"/>
              <w:rPr>
                <w:rFonts w:ascii="Times New Roman" w:hAnsi="Times New Roman"/>
                <w:sz w:val="18"/>
                <w:szCs w:val="20"/>
                <w:lang w:eastAsia="ru-RU"/>
              </w:rPr>
            </w:pPr>
            <w:r>
              <w:rPr>
                <w:rFonts w:eastAsia="Times New Roman" w:cs="Times New Roman" w:ascii="Times New Roman" w:hAnsi="Times New Roman"/>
                <w:kern w:val="0"/>
                <w:sz w:val="18"/>
                <w:szCs w:val="18"/>
                <w:lang w:val="ru-RU" w:eastAsia="ar-SA" w:bidi="ar-SA"/>
              </w:rPr>
              <w:t>В течение 10 дней со дня оплаты по настоящему договору, Покупатель своими силами и за свой счет вывезти приобретенную древесину из места нахождения, указанного в договоре.</w:t>
            </w:r>
          </w:p>
        </w:tc>
      </w:tr>
    </w:tbl>
    <w:p>
      <w:pPr>
        <w:pStyle w:val="Normal"/>
        <w:rPr/>
      </w:pPr>
      <w:r>
        <w:rPr/>
      </w:r>
    </w:p>
    <w:sectPr>
      <w:headerReference w:type="even" r:id="rId10"/>
      <w:headerReference w:type="default" r:id="rId11"/>
      <w:headerReference w:type="first" r:id="rId12"/>
      <w:type w:val="nextPage"/>
      <w:pgSz w:w="11906" w:h="16838"/>
      <w:pgMar w:left="1418" w:right="851" w:gutter="0" w:header="709" w:top="766" w:footer="0" w:bottom="70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swiss"/>
    <w:pitch w:val="variable"/>
  </w:font>
  <w:font w:name="Times New Roman CYR">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sz w:val="28"/>
      </w:rPr>
    </w:pPr>
    <w:r>
      <w:rPr>
        <w:sz w:val="28"/>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sz w:val="28"/>
      </w:rPr>
    </w:pPr>
    <w:r>
      <w:rPr>
        <w:sz w:val="28"/>
      </w:rPr>
    </w:r>
  </w:p>
</w:hd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40" w:beforeAutospacing="0" w:before="0" w:afterAutospacing="0" w:after="0"/>
      <w:jc w:val="left"/>
    </w:pPr>
    <w:rPr>
      <w:rFonts w:ascii="Times New Roman" w:hAnsi="Times New Roman" w:eastAsia="Times New Roman" w:cs="Times New Roman"/>
      <w:color w:val="auto"/>
      <w:kern w:val="0"/>
      <w:sz w:val="20"/>
      <w:szCs w:val="20"/>
      <w:lang w:eastAsia="ru-RU" w:val="ru-RU" w:bidi="ar-SA"/>
    </w:rPr>
  </w:style>
  <w:style w:type="paragraph" w:styleId="Heading1">
    <w:name w:val="heading 1"/>
    <w:basedOn w:val="Normal"/>
    <w:next w:val="Normal"/>
    <w:link w:val="Heading1Char"/>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link w:val="Heading2Char"/>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Heading3Char"/>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Heading4Char"/>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Heading5Char"/>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Heading6Char"/>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Heading7Char"/>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Heading8Char"/>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Heading9Char"/>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basedOn w:val="DefaultParagraphFont"/>
    <w:uiPriority w:val="9"/>
    <w:qFormat/>
    <w:rPr>
      <w:rFonts w:ascii="Arial" w:hAnsi="Arial" w:eastAsia="Arial" w:cs="Arial"/>
      <w:sz w:val="40"/>
      <w:szCs w:val="40"/>
    </w:rPr>
  </w:style>
  <w:style w:type="character" w:styleId="Heading2Char">
    <w:name w:val="Heading 2 Char"/>
    <w:basedOn w:val="DefaultParagraphFont"/>
    <w:uiPriority w:val="9"/>
    <w:qFormat/>
    <w:rPr>
      <w:rFonts w:ascii="Arial" w:hAnsi="Arial" w:eastAsia="Arial" w:cs="Arial"/>
      <w:sz w:val="34"/>
    </w:rPr>
  </w:style>
  <w:style w:type="character" w:styleId="Heading3Char">
    <w:name w:val="Heading 3 Char"/>
    <w:basedOn w:val="DefaultParagraphFont"/>
    <w:uiPriority w:val="9"/>
    <w:qFormat/>
    <w:rPr>
      <w:rFonts w:ascii="Arial" w:hAnsi="Arial" w:eastAsia="Arial" w:cs="Arial"/>
      <w:sz w:val="30"/>
      <w:szCs w:val="30"/>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link w:val="Quote"/>
    <w:uiPriority w:val="29"/>
    <w:qFormat/>
    <w:rPr>
      <w:i/>
    </w:rPr>
  </w:style>
  <w:style w:type="character" w:styleId="IntenseQuoteChar">
    <w:name w:val="Intense Quote Char"/>
    <w:link w:val="IntenseQuote"/>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basedOn w:val="DefaultParagraphFont"/>
    <w:uiPriority w:val="35"/>
    <w:qFormat/>
    <w:rPr>
      <w:b/>
      <w:bCs/>
      <w:color w:themeColor="accent1" w:val="4F81BD"/>
      <w:sz w:val="18"/>
      <w:szCs w:val="18"/>
    </w:rPr>
  </w:style>
  <w:style w:type="character" w:styleId="FootnoteTextChar">
    <w:name w:val="Footnote Text Char"/>
    <w:uiPriority w:val="99"/>
    <w:qFormat/>
    <w:rPr>
      <w:sz w:val="18"/>
    </w:rPr>
  </w:style>
  <w:style w:type="character" w:styleId="EndnoteTextChar">
    <w:name w:val="Endnote Text Char"/>
    <w:uiPriority w:val="99"/>
    <w:qFormat/>
    <w:rPr>
      <w:sz w:val="20"/>
    </w:rPr>
  </w:style>
  <w:style w:type="character" w:styleId="Style5">
    <w:name w:val="Символ концевой сноски"/>
    <w:basedOn w:val="DefaultParagraphFont"/>
    <w:uiPriority w:val="99"/>
    <w:semiHidden/>
    <w:unhideWhenUsed/>
    <w:qFormat/>
    <w:rPr>
      <w:vertAlign w:val="superscript"/>
    </w:rPr>
  </w:style>
  <w:style w:type="character" w:styleId="EndnoteReference">
    <w:name w:val="endnote reference"/>
    <w:rPr>
      <w:vertAlign w:val="superscript"/>
    </w:rPr>
  </w:style>
  <w:style w:type="character" w:styleId="DefaultParagraphFont" w:default="1">
    <w:name w:val="Default Paragraph Font"/>
    <w:uiPriority w:val="1"/>
    <w:semiHidden/>
    <w:unhideWhenUsed/>
    <w:qFormat/>
    <w:rPr/>
  </w:style>
  <w:style w:type="character" w:styleId="Style6" w:customStyle="1">
    <w:name w:val="Основной текст_"/>
    <w:basedOn w:val="DefaultParagraphFont"/>
    <w:link w:val="21"/>
    <w:qFormat/>
    <w:rPr>
      <w:rFonts w:ascii="Times New Roman" w:hAnsi="Times New Roman" w:eastAsia="Times New Roman" w:cs="Times New Roman"/>
      <w:spacing w:val="4"/>
      <w:sz w:val="21"/>
      <w:szCs w:val="21"/>
      <w:shd w:fill="FFFFFF" w:val="clear"/>
    </w:rPr>
  </w:style>
  <w:style w:type="character" w:styleId="1" w:customStyle="1">
    <w:name w:val="Основной текст1"/>
    <w:basedOn w:val="Style6"/>
    <w:qFormat/>
    <w:rPr>
      <w:rFonts w:ascii="Times New Roman" w:hAnsi="Times New Roman" w:eastAsia="Times New Roman" w:cs="Times New Roman"/>
      <w:color w:val="000000"/>
      <w:spacing w:val="4"/>
      <w:sz w:val="21"/>
      <w:szCs w:val="21"/>
      <w:u w:val="single"/>
      <w:shd w:fill="FFFFFF" w:val="clear"/>
      <w:lang w:val="ru-RU"/>
    </w:rPr>
  </w:style>
  <w:style w:type="character" w:styleId="ConsPlusNormal" w:customStyle="1">
    <w:name w:val="ConsPlusNormal Знак"/>
    <w:link w:val="ConsPlusNormal1"/>
    <w:qFormat/>
    <w:rPr>
      <w:rFonts w:ascii="Arial" w:hAnsi="Arial" w:eastAsia="Times New Roman" w:cs="Arial"/>
      <w:sz w:val="20"/>
      <w:szCs w:val="20"/>
      <w:lang w:eastAsia="ru-RU"/>
    </w:rPr>
  </w:style>
  <w:style w:type="character" w:styleId="Style7" w:customStyle="1">
    <w:name w:val="Текст выноски Знак"/>
    <w:basedOn w:val="DefaultParagraphFont"/>
    <w:link w:val="BalloonText"/>
    <w:uiPriority w:val="99"/>
    <w:semiHidden/>
    <w:qFormat/>
    <w:rPr>
      <w:rFonts w:ascii="Tahoma" w:hAnsi="Tahoma" w:cs="Tahoma"/>
      <w:sz w:val="16"/>
      <w:szCs w:val="16"/>
    </w:rPr>
  </w:style>
  <w:style w:type="character" w:styleId="PlaceholderText">
    <w:name w:val="Placeholder Text"/>
    <w:basedOn w:val="DefaultParagraphFont"/>
    <w:uiPriority w:val="99"/>
    <w:semiHidden/>
    <w:qFormat/>
    <w:rPr>
      <w:color w:val="808080"/>
    </w:rPr>
  </w:style>
  <w:style w:type="character" w:styleId="Hyperlink">
    <w:name w:val="Hyperlink"/>
    <w:basedOn w:val="DefaultParagraphFont"/>
    <w:uiPriority w:val="99"/>
    <w:unhideWhenUsed/>
    <w:rPr>
      <w:color w:themeColor="hyperlink" w:val="0000FF"/>
      <w:u w:val="single"/>
    </w:rPr>
  </w:style>
  <w:style w:type="character" w:styleId="Style8" w:customStyle="1">
    <w:name w:val="Верхний колонтитул Знак"/>
    <w:basedOn w:val="DefaultParagraphFont"/>
    <w:semiHidden/>
    <w:qFormat/>
    <w:rPr>
      <w:rFonts w:ascii="Times New Roman" w:hAnsi="Times New Roman" w:eastAsia="Times New Roman" w:cs="Times New Roman"/>
      <w:sz w:val="20"/>
      <w:szCs w:val="20"/>
      <w:lang w:eastAsia="ru-RU"/>
    </w:rPr>
  </w:style>
  <w:style w:type="character" w:styleId="Style9" w:customStyle="1">
    <w:name w:val="Нижний колонтитул Знак"/>
    <w:basedOn w:val="DefaultParagraphFont"/>
    <w:uiPriority w:val="99"/>
    <w:qFormat/>
    <w:rPr>
      <w:rFonts w:ascii="Times New Roman" w:hAnsi="Times New Roman" w:eastAsia="Times New Roman" w:cs="Times New Roman"/>
      <w:sz w:val="20"/>
      <w:szCs w:val="20"/>
      <w:lang w:eastAsia="ru-RU"/>
    </w:rPr>
  </w:style>
  <w:style w:type="character" w:styleId="Style10" w:customStyle="1">
    <w:name w:val="Текст сноски Знак"/>
    <w:basedOn w:val="DefaultParagraphFont"/>
    <w:uiPriority w:val="99"/>
    <w:semiHidden/>
    <w:qFormat/>
    <w:rPr>
      <w:rFonts w:ascii="Times New Roman" w:hAnsi="Times New Roman" w:eastAsia="Times New Roman" w:cs="Times New Roman"/>
      <w:sz w:val="20"/>
      <w:szCs w:val="20"/>
      <w:lang w:eastAsia="ru-RU"/>
    </w:rPr>
  </w:style>
  <w:style w:type="character" w:styleId="Style11">
    <w:name w:val="Символ сноски"/>
    <w:basedOn w:val="DefaultParagraphFont"/>
    <w:uiPriority w:val="99"/>
    <w:semiHidden/>
    <w:unhideWhenUsed/>
    <w:qFormat/>
    <w:rPr>
      <w:vertAlign w:val="superscript"/>
    </w:rPr>
  </w:style>
  <w:style w:type="character" w:styleId="FootnoteReference">
    <w:name w:val="footnote reference"/>
    <w:rPr>
      <w:vertAlign w:val="superscript"/>
    </w:rPr>
  </w:style>
  <w:style w:type="character" w:styleId="2" w:customStyle="1">
    <w:name w:val="Основной текст 2 Знак"/>
    <w:basedOn w:val="DefaultParagraphFont"/>
    <w:link w:val="BodyText2"/>
    <w:qFormat/>
    <w:rPr>
      <w:rFonts w:ascii="Times New Roman" w:hAnsi="Times New Roman" w:eastAsia="Times New Roman" w:cs="Times New Roman"/>
      <w:sz w:val="24"/>
      <w:szCs w:val="20"/>
    </w:rPr>
  </w:style>
  <w:style w:type="paragraph" w:styleId="Style12">
    <w:name w:val="Заголовок"/>
    <w:basedOn w:val="Normal"/>
    <w:next w:val="BodyText"/>
    <w:qFormat/>
    <w:pPr>
      <w:keepNext w:val="true"/>
      <w:spacing w:before="240" w:after="120"/>
    </w:pPr>
    <w:rPr>
      <w:rFonts w:ascii="Liberation Sans" w:hAnsi="Liberation Sans" w:eastAsia="Noto Sans"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next w:val="Normal"/>
    <w:link w:val="CaptionChar"/>
    <w:uiPriority w:val="35"/>
    <w:semiHidden/>
    <w:unhideWhenUsed/>
    <w:qFormat/>
    <w:pPr>
      <w:spacing w:lineRule="auto" w:line="276"/>
    </w:pPr>
    <w:rPr>
      <w:b/>
      <w:bCs/>
      <w:color w:themeColor="accent1" w:val="4F81BD"/>
      <w:sz w:val="18"/>
      <w:szCs w:val="18"/>
    </w:rPr>
  </w:style>
  <w:style w:type="paragraph" w:styleId="Style13">
    <w:name w:val="Указатель"/>
    <w:basedOn w:val="Normal"/>
    <w:qFormat/>
    <w:pPr>
      <w:suppressLineNumbers/>
    </w:pPr>
    <w:rPr/>
  </w:style>
  <w:style w:type="paragraph" w:styleId="Title">
    <w:name w:val="Title"/>
    <w:basedOn w:val="Normal"/>
    <w:next w:val="Normal"/>
    <w:link w:val="TitleChar"/>
    <w:uiPriority w:val="10"/>
    <w:qFormat/>
    <w:pPr>
      <w:spacing w:before="300" w:after="200"/>
      <w:contextualSpacing/>
    </w:pPr>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paragraph" w:styleId="Quote">
    <w:name w:val="Quote"/>
    <w:basedOn w:val="Normal"/>
    <w:next w:val="Normal"/>
    <w:link w:val="QuoteChar"/>
    <w:uiPriority w:val="29"/>
    <w:qFormat/>
    <w:pPr>
      <w:ind w:left="720" w:right="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200"/>
      <w:ind w:left="720" w:right="720"/>
    </w:pPr>
    <w:rPr>
      <w:i/>
    </w:rPr>
  </w:style>
  <w:style w:type="paragraph" w:styleId="EndnoteText">
    <w:name w:val="endnote text"/>
    <w:basedOn w:val="Normal"/>
    <w:link w:val="EndnoteTextChar"/>
    <w:uiPriority w:val="99"/>
    <w:semiHidden/>
    <w:unhideWhenUsed/>
    <w:pPr>
      <w:spacing w:lineRule="auto" w:line="240" w:before="0" w:after="0"/>
    </w:pPr>
    <w:rPr>
      <w:sz w:val="20"/>
    </w:rPr>
  </w:style>
  <w:style w:type="paragraph" w:styleId="TOC1">
    <w:name w:val="toc 1"/>
    <w:basedOn w:val="Normal"/>
    <w:next w:val="Normal"/>
    <w:uiPriority w:val="39"/>
    <w:unhideWhenUsed/>
    <w:pPr>
      <w:spacing w:before="0" w:after="57"/>
      <w:ind w:hanging="0" w:left="0" w:right="0"/>
    </w:pPr>
    <w:rPr/>
  </w:style>
  <w:style w:type="paragraph" w:styleId="TOC2">
    <w:name w:val="toc 2"/>
    <w:basedOn w:val="Normal"/>
    <w:next w:val="Normal"/>
    <w:uiPriority w:val="39"/>
    <w:unhideWhenUsed/>
    <w:pPr>
      <w:spacing w:before="0" w:after="57"/>
      <w:ind w:hanging="0" w:left="283" w:right="0"/>
    </w:pPr>
    <w:rPr/>
  </w:style>
  <w:style w:type="paragraph" w:styleId="TOC3">
    <w:name w:val="toc 3"/>
    <w:basedOn w:val="Normal"/>
    <w:next w:val="Normal"/>
    <w:uiPriority w:val="39"/>
    <w:unhideWhenUsed/>
    <w:pPr>
      <w:spacing w:before="0" w:after="57"/>
      <w:ind w:hanging="0" w:left="567" w:right="0"/>
    </w:pPr>
    <w:rPr/>
  </w:style>
  <w:style w:type="paragraph" w:styleId="TOC4">
    <w:name w:val="toc 4"/>
    <w:basedOn w:val="Normal"/>
    <w:next w:val="Normal"/>
    <w:uiPriority w:val="39"/>
    <w:unhideWhenUsed/>
    <w:pPr>
      <w:spacing w:before="0" w:after="57"/>
      <w:ind w:hanging="0" w:left="850" w:right="0"/>
    </w:pPr>
    <w:rPr/>
  </w:style>
  <w:style w:type="paragraph" w:styleId="TOC5">
    <w:name w:val="toc 5"/>
    <w:basedOn w:val="Normal"/>
    <w:next w:val="Normal"/>
    <w:uiPriority w:val="39"/>
    <w:unhideWhenUsed/>
    <w:pPr>
      <w:spacing w:before="0" w:after="57"/>
      <w:ind w:hanging="0" w:left="1134" w:right="0"/>
    </w:pPr>
    <w:rPr/>
  </w:style>
  <w:style w:type="paragraph" w:styleId="TOC6">
    <w:name w:val="toc 6"/>
    <w:basedOn w:val="Normal"/>
    <w:next w:val="Normal"/>
    <w:uiPriority w:val="39"/>
    <w:unhideWhenUsed/>
    <w:pPr>
      <w:spacing w:before="0" w:after="57"/>
      <w:ind w:hanging="0" w:left="1417" w:right="0"/>
    </w:pPr>
    <w:rPr/>
  </w:style>
  <w:style w:type="paragraph" w:styleId="TOC7">
    <w:name w:val="toc 7"/>
    <w:basedOn w:val="Normal"/>
    <w:next w:val="Normal"/>
    <w:uiPriority w:val="39"/>
    <w:unhideWhenUsed/>
    <w:pPr>
      <w:spacing w:before="0" w:after="57"/>
      <w:ind w:hanging="0" w:left="1701" w:right="0"/>
    </w:pPr>
    <w:rPr/>
  </w:style>
  <w:style w:type="paragraph" w:styleId="TOC8">
    <w:name w:val="toc 8"/>
    <w:basedOn w:val="Normal"/>
    <w:next w:val="Normal"/>
    <w:uiPriority w:val="39"/>
    <w:unhideWhenUsed/>
    <w:pPr>
      <w:spacing w:before="0" w:after="57"/>
      <w:ind w:hanging="0" w:left="1984" w:right="0"/>
    </w:pPr>
    <w:rPr/>
  </w:style>
  <w:style w:type="paragraph" w:styleId="TOC9">
    <w:name w:val="toc 9"/>
    <w:basedOn w:val="Normal"/>
    <w:next w:val="Normal"/>
    <w:uiPriority w:val="39"/>
    <w:unhideWhenUsed/>
    <w:pPr>
      <w:spacing w:before="0" w:after="57"/>
      <w:ind w:hanging="0" w:left="2268" w:right="0"/>
    </w:pPr>
    <w:rPr/>
  </w:style>
  <w:style w:type="paragraph" w:styleId="IndexHeading">
    <w:name w:val="index heading"/>
    <w:basedOn w:val="Style12"/>
    <w:pPr/>
    <w:rPr/>
  </w:style>
  <w:style w:type="paragraph" w:styleId="TOCHeading">
    <w:name w:val="TOC Heading"/>
    <w:uiPriority w:val="39"/>
    <w:unhideWhenUsed/>
    <w:qFormat/>
    <w:pPr>
      <w:widowControl/>
      <w:bidi w:val="0"/>
      <w:spacing w:lineRule="auto" w:line="276" w:beforeAutospacing="0" w:before="0" w:afterAutospacing="0" w:after="20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TableofFigures">
    <w:name w:val="table of figures"/>
    <w:basedOn w:val="Normal"/>
    <w:next w:val="Normal"/>
    <w:uiPriority w:val="99"/>
    <w:unhideWhenUsed/>
    <w:pPr>
      <w:spacing w:before="0" w:afterAutospacing="0" w:after="0"/>
    </w:pPr>
    <w:rPr/>
  </w:style>
  <w:style w:type="paragraph" w:styleId="NormalWeb">
    <w:name w:val="Normal (Web)"/>
    <w:basedOn w:val="Normal"/>
    <w:uiPriority w:val="99"/>
    <w:unhideWhenUsed/>
    <w:qFormat/>
    <w:pPr>
      <w:spacing w:before="120" w:after="0"/>
    </w:pPr>
    <w:rPr>
      <w:sz w:val="24"/>
      <w:szCs w:val="24"/>
    </w:rPr>
  </w:style>
  <w:style w:type="paragraph" w:styleId="21" w:customStyle="1">
    <w:name w:val="Основной текст2"/>
    <w:basedOn w:val="Normal"/>
    <w:link w:val="Style6"/>
    <w:qFormat/>
    <w:pPr>
      <w:widowControl w:val="false"/>
      <w:shd w:val="clear" w:color="auto" w:fill="FFFFFF"/>
      <w:spacing w:lineRule="atLeast" w:line="0" w:before="0" w:after="600"/>
      <w:jc w:val="right"/>
    </w:pPr>
    <w:rPr>
      <w:spacing w:val="4"/>
      <w:sz w:val="21"/>
      <w:szCs w:val="21"/>
      <w:lang w:eastAsia="en-US"/>
    </w:rPr>
  </w:style>
  <w:style w:type="paragraph" w:styleId="ConsPlusNormal1" w:customStyle="1">
    <w:name w:val="ConsPlusNormal"/>
    <w:link w:val="ConsPlusNormal"/>
    <w:qFormat/>
    <w:pPr>
      <w:widowControl/>
      <w:bidi w:val="0"/>
      <w:spacing w:lineRule="auto" w:line="240" w:beforeAutospacing="0" w:before="0" w:afterAutospacing="0" w:after="0"/>
      <w:ind w:firstLine="720"/>
      <w:jc w:val="left"/>
    </w:pPr>
    <w:rPr>
      <w:rFonts w:ascii="Arial" w:hAnsi="Arial" w:eastAsia="Times New Roman" w:cs="Arial" w:cstheme="minorBidi"/>
      <w:color w:val="auto"/>
      <w:kern w:val="0"/>
      <w:sz w:val="20"/>
      <w:szCs w:val="20"/>
      <w:lang w:eastAsia="ru-RU" w:val="ru-RU" w:bidi="ar-SA"/>
    </w:rPr>
  </w:style>
  <w:style w:type="paragraph" w:styleId="BalloonText">
    <w:name w:val="Balloon Text"/>
    <w:basedOn w:val="Normal"/>
    <w:link w:val="Style7"/>
    <w:uiPriority w:val="99"/>
    <w:semiHidden/>
    <w:unhideWhenUsed/>
    <w:qFormat/>
    <w:pPr/>
    <w:rPr>
      <w:rFonts w:ascii="Tahoma" w:hAnsi="Tahoma" w:eastAsia="Calibri" w:cs="Tahoma" w:eastAsiaTheme="minorHAnsi"/>
      <w:sz w:val="16"/>
      <w:szCs w:val="16"/>
      <w:lang w:eastAsia="en-US"/>
    </w:rPr>
  </w:style>
  <w:style w:type="paragraph" w:styleId="ListParagraph">
    <w:name w:val="List Paragraph"/>
    <w:basedOn w:val="Normal"/>
    <w:uiPriority w:val="34"/>
    <w:qFormat/>
    <w:pPr>
      <w:spacing w:lineRule="auto" w:line="276" w:before="0" w:after="200"/>
      <w:ind w:left="720"/>
      <w:contextualSpacing/>
    </w:pPr>
    <w:rPr>
      <w:rFonts w:ascii="Calibri" w:hAnsi="Calibri" w:eastAsia="Calibri" w:cs="Arial" w:asciiTheme="minorHAnsi" w:cstheme="minorBidi" w:eastAsiaTheme="minorHAnsi" w:hAnsiTheme="minorHAnsi"/>
      <w:sz w:val="22"/>
      <w:szCs w:val="22"/>
      <w:lang w:eastAsia="en-US"/>
    </w:rPr>
  </w:style>
  <w:style w:type="paragraph" w:styleId="NoSpacing">
    <w:name w:val="No Spacing"/>
    <w:uiPriority w:val="1"/>
    <w:qFormat/>
    <w:pPr>
      <w:widowControl/>
      <w:bidi w:val="0"/>
      <w:spacing w:lineRule="auto" w:line="240" w:beforeAutospacing="0" w:before="0" w:afterAutospacing="0" w:after="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Style14">
    <w:name w:val="Колонтитулы"/>
    <w:basedOn w:val="Normal"/>
    <w:qFormat/>
    <w:pPr/>
    <w:rPr/>
  </w:style>
  <w:style w:type="paragraph" w:styleId="Header">
    <w:name w:val="header"/>
    <w:basedOn w:val="Normal"/>
    <w:link w:val="Style8"/>
    <w:semiHidden/>
    <w:pPr>
      <w:tabs>
        <w:tab w:val="clear" w:pos="708"/>
        <w:tab w:val="center" w:pos="4153" w:leader="none"/>
        <w:tab w:val="right" w:pos="8306" w:leader="none"/>
      </w:tabs>
    </w:pPr>
    <w:rPr/>
  </w:style>
  <w:style w:type="paragraph" w:styleId="Footer">
    <w:name w:val="footer"/>
    <w:basedOn w:val="Normal"/>
    <w:link w:val="Style9"/>
    <w:uiPriority w:val="99"/>
    <w:unhideWhenUsed/>
    <w:pPr>
      <w:tabs>
        <w:tab w:val="clear" w:pos="708"/>
        <w:tab w:val="center" w:pos="4677" w:leader="none"/>
        <w:tab w:val="right" w:pos="9355" w:leader="none"/>
      </w:tabs>
    </w:pPr>
    <w:rPr/>
  </w:style>
  <w:style w:type="paragraph" w:styleId="Style15" w:customStyle="1">
    <w:name w:val="Знак"/>
    <w:basedOn w:val="Normal"/>
    <w:qFormat/>
    <w:pPr>
      <w:spacing w:lineRule="exact" w:line="240" w:before="0" w:after="160"/>
    </w:pPr>
    <w:rPr>
      <w:sz w:val="24"/>
      <w:lang w:val="en-US" w:eastAsia="en-US"/>
    </w:rPr>
  </w:style>
  <w:style w:type="paragraph" w:styleId="FootnoteText">
    <w:name w:val="footnote text"/>
    <w:basedOn w:val="Normal"/>
    <w:link w:val="Style10"/>
    <w:uiPriority w:val="99"/>
    <w:semiHidden/>
    <w:unhideWhenUsed/>
    <w:pPr/>
    <w:rPr/>
  </w:style>
  <w:style w:type="paragraph" w:styleId="BodyText2">
    <w:name w:val="Body Text 2"/>
    <w:basedOn w:val="Normal"/>
    <w:link w:val="2"/>
    <w:qFormat/>
    <w:pPr>
      <w:tabs>
        <w:tab w:val="clear" w:pos="708"/>
        <w:tab w:val="left" w:pos="284" w:leader="none"/>
      </w:tabs>
      <w:ind w:hanging="284" w:left="284"/>
      <w:jc w:val="both"/>
    </w:pPr>
    <w:rPr>
      <w:sz w:val="24"/>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Normal"/>
    <w:qFormat/>
    <w:pPr>
      <w:spacing w:beforeAutospacing="1" w:afterAutospacing="1"/>
    </w:pPr>
    <w:rPr>
      <w:rFonts w:ascii="Tahoma" w:hAnsi="Tahoma"/>
      <w:lang w:val="en-US" w:eastAsia="en-US"/>
    </w:rPr>
  </w:style>
  <w:style w:type="numbering" w:styleId="Style16" w:default="1">
    <w:name w:val="Без списка"/>
    <w:uiPriority w:val="99"/>
    <w:semiHidden/>
    <w:unhideWhenUsed/>
    <w:qFormat/>
  </w:style>
  <w:style w:type="table" w:styleId="710">
    <w:name w:val="Table Grid Light"/>
    <w:basedOn w:val="852"/>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11">
    <w:name w:val="Plain Table 1"/>
    <w:basedOn w:val="852"/>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712">
    <w:name w:val="Plain Table 2"/>
    <w:basedOn w:val="852"/>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713">
    <w:name w:val="Plain Table 3"/>
    <w:basedOn w:val="852"/>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714">
    <w:name w:val="Plain Table 4"/>
    <w:basedOn w:val="852"/>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715">
    <w:name w:val="Plain Table 5"/>
    <w:basedOn w:val="852"/>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style>
  <w:style w:type="table" w:styleId="716">
    <w:name w:val="Grid Table 1 Light"/>
    <w:basedOn w:val="852"/>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styleId="717">
    <w:name w:val="Grid Table 1 Light - Accent 1"/>
    <w:basedOn w:val="852"/>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style>
  <w:style w:type="table" w:styleId="718">
    <w:name w:val="Grid Table 1 Light - Accent 2"/>
    <w:basedOn w:val="852"/>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style>
  <w:style w:type="table" w:styleId="719">
    <w:name w:val="Grid Table 1 Light - Accent 3"/>
    <w:basedOn w:val="852"/>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style>
  <w:style w:type="table" w:styleId="720">
    <w:name w:val="Grid Table 1 Light - Accent 4"/>
    <w:basedOn w:val="852"/>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style>
  <w:style w:type="table" w:styleId="721">
    <w:name w:val="Grid Table 1 Light - Accent 5"/>
    <w:basedOn w:val="852"/>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style>
  <w:style w:type="table" w:styleId="722">
    <w:name w:val="Grid Table 1 Light - Accent 6"/>
    <w:basedOn w:val="852"/>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style>
  <w:style w:type="table" w:styleId="723">
    <w:name w:val="Grid Table 2"/>
    <w:basedOn w:val="852"/>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724">
    <w:name w:val="Grid Table 2 - Accent 1"/>
    <w:basedOn w:val="852"/>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725">
    <w:name w:val="Grid Table 2 - Accent 2"/>
    <w:basedOn w:val="852"/>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726">
    <w:name w:val="Grid Table 2 - Accent 3"/>
    <w:basedOn w:val="852"/>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727">
    <w:name w:val="Grid Table 2 - Accent 4"/>
    <w:basedOn w:val="852"/>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728">
    <w:name w:val="Grid Table 2 - Accent 5"/>
    <w:basedOn w:val="852"/>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729">
    <w:name w:val="Grid Table 2 - Accent 6"/>
    <w:basedOn w:val="852"/>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730">
    <w:name w:val="Grid Table 3"/>
    <w:basedOn w:val="852"/>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31">
    <w:name w:val="Grid Table 3 - Accent 1"/>
    <w:basedOn w:val="852"/>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32">
    <w:name w:val="Grid Table 3 - Accent 2"/>
    <w:basedOn w:val="852"/>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33">
    <w:name w:val="Grid Table 3 - Accent 3"/>
    <w:basedOn w:val="852"/>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34">
    <w:name w:val="Grid Table 3 - Accent 4"/>
    <w:basedOn w:val="852"/>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35">
    <w:name w:val="Grid Table 3 - Accent 5"/>
    <w:basedOn w:val="852"/>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36">
    <w:name w:val="Grid Table 3 - Accent 6"/>
    <w:basedOn w:val="852"/>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37">
    <w:name w:val="Grid Table 4"/>
    <w:basedOn w:val="852"/>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styleId="738">
    <w:name w:val="Grid Table 4 - Accent 1"/>
    <w:basedOn w:val="852"/>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CE6F1" w:themeFill="accent1" w:themeFillTint="32"/>
      </w:tcPr>
    </w:tblStylePr>
    <w:tblStylePr w:type="band1Vert">
      <w:rPr>
        <w:sz w:val="22"/>
      </w:rPr>
      <w:tblPr/>
      <w:tcPr>
        <w:shd w:val="clear" w:color="FFFFFF" w:fill="DCE6F1" w:themeFill="accent1" w:themeFillTint="32"/>
      </w:tc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D8DC2" w:themeFill="accent1" w:themeFillTint="ea"/>
      </w:tcPr>
    </w:tblStylePr>
    <w:tblStylePr w:type="lastCol">
      <w:rPr>
        <w:b/>
      </w:rPr>
      <w:tblPr/>
    </w:tblStylePr>
    <w:tblStylePr w:type="lastRow">
      <w:rPr>
        <w:b/>
      </w:rPr>
      <w:tblPr/>
      <w:tcPr>
        <w:tcBorders>
          <w:top w:val="single" w:color="000000" w:themeColor="accent1" w:sz="4" w:space="0"/>
        </w:tcBorders>
      </w:tcPr>
    </w:tblStylePr>
  </w:style>
  <w:style w:type="table" w:styleId="739">
    <w:name w:val="Grid Table 4 - Accent 2"/>
    <w:basedOn w:val="852"/>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D99694" w:themeFill="accent2" w:themeFillTint="97"/>
      </w:tcPr>
    </w:tblStylePr>
    <w:tblStylePr w:type="lastCol">
      <w:rPr>
        <w:b/>
      </w:rPr>
      <w:tblPr/>
    </w:tblStylePr>
    <w:tblStylePr w:type="lastRow">
      <w:rPr>
        <w:b/>
      </w:rPr>
      <w:tblPr/>
      <w:tcPr>
        <w:tcBorders>
          <w:top w:val="single" w:color="000000" w:themeColor="accent2" w:sz="4" w:space="0"/>
        </w:tcBorders>
      </w:tcPr>
    </w:tblStylePr>
  </w:style>
  <w:style w:type="table" w:styleId="740">
    <w:name w:val="Grid Table 4 - Accent 3"/>
    <w:basedOn w:val="852"/>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9BBA59" w:themeFill="accent3" w:themeFillTint="fe"/>
      </w:tcPr>
    </w:tblStylePr>
    <w:tblStylePr w:type="lastCol">
      <w:rPr>
        <w:b/>
      </w:rPr>
      <w:tblPr/>
    </w:tblStylePr>
    <w:tblStylePr w:type="lastRow">
      <w:rPr>
        <w:b/>
      </w:rPr>
      <w:tblPr/>
      <w:tcPr>
        <w:tcBorders>
          <w:top w:val="single" w:color="000000" w:themeColor="accent3" w:sz="4" w:space="0"/>
        </w:tcBorders>
      </w:tcPr>
    </w:tblStylePr>
  </w:style>
  <w:style w:type="table" w:styleId="741">
    <w:name w:val="Grid Table 4 - Accent 4"/>
    <w:basedOn w:val="852"/>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B2A1C6" w:themeFill="accent4" w:themeFillTint="9a"/>
      </w:tcPr>
    </w:tblStylePr>
    <w:tblStylePr w:type="lastCol">
      <w:rPr>
        <w:b/>
      </w:rPr>
      <w:tblPr/>
    </w:tblStylePr>
    <w:tblStylePr w:type="lastRow">
      <w:rPr>
        <w:b/>
      </w:rPr>
      <w:tblPr/>
      <w:tcPr>
        <w:tcBorders>
          <w:top w:val="single" w:color="000000" w:themeColor="accent4" w:sz="4" w:space="0"/>
        </w:tcBorders>
      </w:tcPr>
    </w:tblStylePr>
  </w:style>
  <w:style w:type="table" w:styleId="742">
    <w:name w:val="Grid Table 4 - Accent 5"/>
    <w:basedOn w:val="852"/>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BACC6" w:themeFill="accent5"/>
      </w:tcPr>
    </w:tblStylePr>
    <w:tblStylePr w:type="lastCol">
      <w:rPr>
        <w:b/>
      </w:rPr>
      <w:tblPr/>
    </w:tblStylePr>
    <w:tblStylePr w:type="lastRow">
      <w:rPr>
        <w:b/>
      </w:rPr>
      <w:tblPr/>
      <w:tcPr>
        <w:tcBorders>
          <w:top w:val="single" w:color="000000" w:themeColor="accent5" w:sz="4" w:space="0"/>
        </w:tcBorders>
      </w:tcPr>
    </w:tblStylePr>
  </w:style>
  <w:style w:type="table" w:styleId="743">
    <w:name w:val="Grid Table 4 - Accent 6"/>
    <w:basedOn w:val="852"/>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F79646" w:themeFill="accent6"/>
      </w:tcPr>
    </w:tblStylePr>
    <w:tblStylePr w:type="lastCol">
      <w:rPr>
        <w:b/>
      </w:rPr>
      <w:tblPr/>
    </w:tblStylePr>
    <w:tblStylePr w:type="lastRow">
      <w:rPr>
        <w:b/>
      </w:rPr>
      <w:tblPr/>
      <w:tcPr>
        <w:tcBorders>
          <w:top w:val="single" w:color="000000" w:themeColor="accent6" w:sz="4" w:space="0"/>
        </w:tcBorders>
      </w:tcPr>
    </w:tblStylePr>
  </w:style>
  <w:style w:type="table" w:styleId="744">
    <w:name w:val="Grid Table 5 Dark"/>
    <w:basedOn w:val="85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style>
  <w:style w:type="table" w:styleId="745">
    <w:name w:val="Grid Table 5 Dark- Accent 1"/>
    <w:basedOn w:val="85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DC5E0" w:themeFill="accent1" w:themeFillTint="75"/>
      </w:tcPr>
    </w:tblStylePr>
    <w:tblStylePr w:type="band1Vert">
      <w:tblPr/>
      <w:tcPr>
        <w:shd w:val="clear" w:color="FFFFFF" w:fill="ADC5E0" w:themeFill="accent1" w:themeFillTint="75"/>
      </w:tcPr>
    </w:tblStylePr>
    <w:tblStylePr w:type="firstCol">
      <w:rPr>
        <w:b/>
        <w:sz w:val="22"/>
      </w:rPr>
      <w:tblPr/>
      <w:tcPr>
        <w:shd w:val="clear" w:color="FFFFFF" w:fill="4F81BD" w:themeFill="accent1"/>
      </w:tcPr>
    </w:tblStylePr>
    <w:tblStylePr w:type="firstRow">
      <w:rPr>
        <w:b/>
        <w:sz w:val="22"/>
      </w:rPr>
      <w:tblPr/>
      <w:tcPr>
        <w:shd w:val="clear" w:color="FFFFFF" w:fill="4F81BD" w:themeFill="accent1"/>
      </w:tcPr>
    </w:tblStylePr>
    <w:tblStylePr w:type="lastCol">
      <w:rPr>
        <w:b/>
        <w:sz w:val="22"/>
      </w:rPr>
      <w:tblPr/>
      <w:tcPr>
        <w:shd w:val="clear" w:color="FFFFFF" w:fill="4F81BD" w:themeFill="accent1"/>
      </w:tcPr>
    </w:tblStylePr>
    <w:tblStylePr w:type="lastRow">
      <w:rPr>
        <w:b/>
        <w:sz w:val="22"/>
      </w:rPr>
      <w:tblPr/>
      <w:tcPr>
        <w:tcBorders>
          <w:top w:val="single" w:color="000000" w:themeColor="light1" w:sz="4" w:space="0"/>
        </w:tcBorders>
        <w:shd w:val="clear" w:color="FFFFFF" w:fill="4F81BD" w:themeFill="accent1"/>
      </w:tcPr>
    </w:tblStylePr>
  </w:style>
  <w:style w:type="table" w:styleId="746">
    <w:name w:val="Grid Table 5 Dark - Accent 2"/>
    <w:basedOn w:val="85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E1ADAC" w:themeFill="accent2" w:themeFillTint="75"/>
      </w:tcPr>
    </w:tblStylePr>
    <w:tblStylePr w:type="band1Vert">
      <w:tblPr/>
      <w:tcPr>
        <w:shd w:val="clear" w:color="FFFFFF" w:fill="E1ADAC" w:themeFill="accent2" w:themeFillTint="75"/>
      </w:tcPr>
    </w:tblStylePr>
    <w:tblStylePr w:type="firstCol">
      <w:rPr>
        <w:b/>
        <w:sz w:val="22"/>
      </w:rPr>
      <w:tblPr/>
      <w:tcPr>
        <w:shd w:val="clear" w:color="FFFFFF" w:fill="C0504D" w:themeFill="accent2"/>
      </w:tcPr>
    </w:tblStylePr>
    <w:tblStylePr w:type="firstRow">
      <w:rPr>
        <w:b/>
        <w:sz w:val="22"/>
      </w:rPr>
      <w:tblPr/>
      <w:tcPr>
        <w:shd w:val="clear" w:color="FFFFFF" w:fill="C0504D" w:themeFill="accent2"/>
      </w:tcPr>
    </w:tblStylePr>
    <w:tblStylePr w:type="lastCol">
      <w:rPr>
        <w:b/>
        <w:sz w:val="22"/>
      </w:rPr>
      <w:tblPr/>
      <w:tcPr>
        <w:shd w:val="clear" w:color="FFFFFF" w:fill="C0504D" w:themeFill="accent2"/>
      </w:tcPr>
    </w:tblStylePr>
    <w:tblStylePr w:type="lastRow">
      <w:rPr>
        <w:b/>
        <w:sz w:val="22"/>
      </w:rPr>
      <w:tblPr/>
      <w:tcPr>
        <w:tcBorders>
          <w:top w:val="single" w:color="000000" w:themeColor="light1" w:sz="4" w:space="0"/>
        </w:tcBorders>
        <w:shd w:val="clear" w:color="FFFFFF" w:fill="C0504D" w:themeFill="accent2"/>
      </w:tcPr>
    </w:tblStylePr>
  </w:style>
  <w:style w:type="table" w:styleId="747">
    <w:name w:val="Grid Table 5 Dark - Accent 3"/>
    <w:basedOn w:val="85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1DFB2" w:themeFill="accent3" w:themeFillTint="75"/>
      </w:tcPr>
    </w:tblStylePr>
    <w:tblStylePr w:type="band1Vert">
      <w:tblPr/>
      <w:tcPr>
        <w:shd w:val="clear" w:color="FFFFFF" w:fill="D1DFB2" w:themeFill="accent3" w:themeFillTint="75"/>
      </w:tcPr>
    </w:tblStylePr>
    <w:tblStylePr w:type="firstCol">
      <w:rPr>
        <w:b/>
        <w:sz w:val="22"/>
      </w:rPr>
      <w:tblPr/>
      <w:tcPr>
        <w:shd w:val="clear" w:color="FFFFFF" w:fill="9BBB59" w:themeFill="accent3"/>
      </w:tcPr>
    </w:tblStylePr>
    <w:tblStylePr w:type="firstRow">
      <w:rPr>
        <w:b/>
        <w:sz w:val="22"/>
      </w:rPr>
      <w:tblPr/>
      <w:tcPr>
        <w:shd w:val="clear" w:color="FFFFFF" w:fill="9BBB59" w:themeFill="accent3"/>
      </w:tcPr>
    </w:tblStylePr>
    <w:tblStylePr w:type="lastCol">
      <w:rPr>
        <w:b/>
        <w:sz w:val="22"/>
      </w:rPr>
      <w:tblPr/>
      <w:tcPr>
        <w:shd w:val="clear" w:color="FFFFFF" w:fill="9BBB59" w:themeFill="accent3"/>
      </w:tcPr>
    </w:tblStylePr>
    <w:tblStylePr w:type="lastRow">
      <w:rPr>
        <w:b/>
        <w:sz w:val="22"/>
      </w:rPr>
      <w:tblPr/>
      <w:tcPr>
        <w:tcBorders>
          <w:top w:val="single" w:color="000000" w:themeColor="light1" w:sz="4" w:space="0"/>
        </w:tcBorders>
        <w:shd w:val="clear" w:color="FFFFFF" w:fill="9BBB59" w:themeFill="accent3"/>
      </w:tcPr>
    </w:tblStylePr>
  </w:style>
  <w:style w:type="table" w:styleId="748">
    <w:name w:val="Grid Table 5 Dark- Accent 4"/>
    <w:basedOn w:val="85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C4B7D4" w:themeFill="accent4" w:themeFillTint="75"/>
      </w:tcPr>
    </w:tblStylePr>
    <w:tblStylePr w:type="band1Vert">
      <w:tblPr/>
      <w:tcPr>
        <w:shd w:val="clear" w:color="FFFFFF" w:fill="C4B7D4" w:themeFill="accent4" w:themeFillTint="75"/>
      </w:tcPr>
    </w:tblStylePr>
    <w:tblStylePr w:type="firstCol">
      <w:rPr>
        <w:b/>
        <w:sz w:val="22"/>
      </w:rPr>
      <w:tblPr/>
      <w:tcPr>
        <w:shd w:val="clear" w:color="FFFFFF" w:fill="8064A2" w:themeFill="accent4"/>
      </w:tcPr>
    </w:tblStylePr>
    <w:tblStylePr w:type="firstRow">
      <w:rPr>
        <w:b/>
        <w:sz w:val="22"/>
      </w:rPr>
      <w:tblPr/>
      <w:tcPr>
        <w:shd w:val="clear" w:color="FFFFFF" w:fill="8064A2" w:themeFill="accent4"/>
      </w:tcPr>
    </w:tblStylePr>
    <w:tblStylePr w:type="lastCol">
      <w:rPr>
        <w:b/>
        <w:sz w:val="22"/>
      </w:rPr>
      <w:tblPr/>
      <w:tcPr>
        <w:shd w:val="clear" w:color="FFFFFF" w:fill="8064A2" w:themeFill="accent4"/>
      </w:tcPr>
    </w:tblStylePr>
    <w:tblStylePr w:type="lastRow">
      <w:rPr>
        <w:b/>
        <w:sz w:val="22"/>
      </w:rPr>
      <w:tblPr/>
      <w:tcPr>
        <w:tcBorders>
          <w:top w:val="single" w:color="000000" w:themeColor="light1" w:sz="4" w:space="0"/>
        </w:tcBorders>
        <w:shd w:val="clear" w:color="FFFFFF" w:fill="8064A2" w:themeFill="accent4"/>
      </w:tcPr>
    </w:tblStylePr>
  </w:style>
  <w:style w:type="table" w:styleId="749">
    <w:name w:val="Grid Table 5 Dark - Accent 5"/>
    <w:basedOn w:val="85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BD9E4" w:themeFill="accent5" w:themeFillTint="75"/>
      </w:tcPr>
    </w:tblStylePr>
    <w:tblStylePr w:type="band1Vert">
      <w:tblPr/>
      <w:tcPr>
        <w:shd w:val="clear" w:color="FFFFFF" w:fill="ABD9E4" w:themeFill="accent5" w:themeFillTint="75"/>
      </w:tcPr>
    </w:tblStylePr>
    <w:tblStylePr w:type="firstCol">
      <w:rPr>
        <w:b/>
        <w:sz w:val="22"/>
      </w:rPr>
      <w:tblPr/>
      <w:tcPr>
        <w:shd w:val="clear" w:color="FFFFFF" w:fill="4BACC6" w:themeFill="accent5"/>
      </w:tcPr>
    </w:tblStylePr>
    <w:tblStylePr w:type="firstRow">
      <w:rPr>
        <w:b/>
        <w:sz w:val="22"/>
      </w:rPr>
      <w:tblPr/>
      <w:tcPr>
        <w:shd w:val="clear" w:color="FFFFFF" w:fill="4BACC6" w:themeFill="accent5"/>
      </w:tcPr>
    </w:tblStylePr>
    <w:tblStylePr w:type="lastCol">
      <w:rPr>
        <w:b/>
        <w:sz w:val="22"/>
      </w:rPr>
      <w:tblPr/>
      <w:tcPr>
        <w:shd w:val="clear" w:color="FFFFFF" w:fill="4BACC6" w:themeFill="accent5"/>
      </w:tcPr>
    </w:tblStylePr>
    <w:tblStylePr w:type="lastRow">
      <w:rPr>
        <w:b/>
        <w:sz w:val="22"/>
      </w:rPr>
      <w:tblPr/>
      <w:tcPr>
        <w:tcBorders>
          <w:top w:val="single" w:color="000000" w:themeColor="light1" w:sz="4" w:space="0"/>
        </w:tcBorders>
        <w:shd w:val="clear" w:color="FFFFFF" w:fill="4BACC6" w:themeFill="accent5"/>
      </w:tcPr>
    </w:tblStylePr>
  </w:style>
  <w:style w:type="table" w:styleId="750">
    <w:name w:val="Grid Table 5 Dark - Accent 6"/>
    <w:basedOn w:val="85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BCDA8" w:themeFill="accent6" w:themeFillTint="75"/>
      </w:tcPr>
    </w:tblStylePr>
    <w:tblStylePr w:type="band1Vert">
      <w:tblPr/>
      <w:tcPr>
        <w:shd w:val="clear" w:color="FFFFFF" w:fill="FBCDA8" w:themeFill="accent6" w:themeFillTint="75"/>
      </w:tcPr>
    </w:tblStylePr>
    <w:tblStylePr w:type="firstCol">
      <w:rPr>
        <w:b/>
        <w:sz w:val="22"/>
      </w:rPr>
      <w:tblPr/>
      <w:tcPr>
        <w:shd w:val="clear" w:color="FFFFFF" w:fill="F79646" w:themeFill="accent6"/>
      </w:tcPr>
    </w:tblStylePr>
    <w:tblStylePr w:type="firstRow">
      <w:rPr>
        <w:b/>
        <w:sz w:val="22"/>
      </w:rPr>
      <w:tblPr/>
      <w:tcPr>
        <w:shd w:val="clear" w:color="FFFFFF" w:fill="F79646" w:themeFill="accent6"/>
      </w:tcPr>
    </w:tblStylePr>
    <w:tblStylePr w:type="lastCol">
      <w:rPr>
        <w:b/>
        <w:sz w:val="22"/>
      </w:rPr>
      <w:tblPr/>
      <w:tcPr>
        <w:shd w:val="clear" w:color="FFFFFF" w:fill="F79646" w:themeFill="accent6"/>
      </w:tcPr>
    </w:tblStylePr>
    <w:tblStylePr w:type="lastRow">
      <w:rPr>
        <w:b/>
        <w:sz w:val="22"/>
      </w:rPr>
      <w:tblPr/>
      <w:tcPr>
        <w:tcBorders>
          <w:top w:val="single" w:color="000000" w:themeColor="light1" w:sz="4" w:space="0"/>
        </w:tcBorders>
        <w:shd w:val="clear" w:color="FFFFFF" w:fill="F79646" w:themeFill="accent6"/>
      </w:tcPr>
    </w:tblStylePr>
  </w:style>
  <w:style w:type="table" w:styleId="751">
    <w:name w:val="Grid Table 6 Colorful"/>
    <w:basedOn w:val="852"/>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themeColor="text1" w:themeTint="80" w:themeShade="95"/>
        <w:sz w:val="22"/>
      </w:rPr>
      <w:tblPr/>
    </w:tblStylePr>
    <w:tblStylePr w:type="firstCol">
      <w:rPr>
        <w:b/>
        <w:color w:themeColor="text1" w:themeTint="80" w:themeShade="95"/>
      </w:rPr>
      <w:tblPr/>
    </w:tblStylePr>
    <w:tblStylePr w:type="firstRow">
      <w:rPr>
        <w:b/>
        <w:color w:themeColor="text1" w:themeTint="80" w:themeShade="95"/>
      </w:rPr>
      <w:tblPr/>
      <w:tcPr>
        <w:tcBorders>
          <w:bottom w:val="single" w:color="000000" w:themeColor="text1" w:sz="12" w:space="0"/>
        </w:tcBorders>
      </w:tcPr>
    </w:tblStylePr>
    <w:tblStylePr w:type="lastCol">
      <w:rPr>
        <w:b/>
        <w:color w:themeColor="text1" w:themeTint="80" w:themeShade="95"/>
      </w:rPr>
      <w:tblPr/>
    </w:tblStylePr>
    <w:tblStylePr w:type="lastRow">
      <w:rPr>
        <w:b/>
        <w:color w:themeColor="text1" w:themeTint="80" w:themeShade="95"/>
      </w:rPr>
      <w:tblPr/>
    </w:tblStylePr>
    <w:tblStylePr w:type="wholeTable">
      <w:rPr>
        <w:color w:themeColor="text1" w:themeTint="80" w:themeShade="95"/>
        <w:sz w:val="22"/>
      </w:rPr>
      <w:tblPr/>
    </w:tblStylePr>
  </w:style>
  <w:style w:type="table" w:styleId="752">
    <w:name w:val="Grid Table 6 Colorful - Accent 1"/>
    <w:basedOn w:val="852"/>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themeColor="accent1" w:themeTint="80" w:themeShade="95"/>
        <w:sz w:val="22"/>
      </w:rPr>
      <w:tblPr/>
    </w:tblStylePr>
    <w:tblStylePr w:type="firstCol">
      <w:rPr>
        <w:b/>
        <w:color w:themeColor="accent1" w:themeTint="80" w:themeShade="95"/>
      </w:rPr>
      <w:tblPr/>
    </w:tblStylePr>
    <w:tblStylePr w:type="firstRow">
      <w:rPr>
        <w:b/>
        <w:color w:themeColor="accent1" w:themeTint="80" w:themeShade="95"/>
      </w:rPr>
      <w:tblPr/>
      <w:tcPr>
        <w:tcBorders>
          <w:bottom w:val="single" w:color="000000" w:themeColor="accent1" w:sz="12" w:space="0"/>
        </w:tcBorders>
      </w:tcPr>
    </w:tblStylePr>
    <w:tblStylePr w:type="lastCol">
      <w:rPr>
        <w:b/>
        <w:color w:themeColor="accent1" w:themeTint="80" w:themeShade="95"/>
      </w:rPr>
      <w:tblPr/>
    </w:tblStylePr>
    <w:tblStylePr w:type="lastRow">
      <w:rPr>
        <w:b/>
        <w:color w:themeColor="accent1" w:themeTint="80" w:themeShade="95"/>
      </w:rPr>
      <w:tblPr/>
    </w:tblStylePr>
    <w:tblStylePr w:type="wholeTable">
      <w:rPr>
        <w:color w:themeColor="accent1" w:themeTint="80" w:themeShade="95"/>
        <w:sz w:val="22"/>
      </w:rPr>
      <w:tblPr/>
    </w:tblStylePr>
  </w:style>
  <w:style w:type="table" w:styleId="753">
    <w:name w:val="Grid Table 6 Colorful - Accent 2"/>
    <w:basedOn w:val="852"/>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12" w:space="0"/>
        </w:tcBorders>
      </w:tcPr>
    </w:tblStylePr>
    <w:tblStylePr w:type="lastCol">
      <w:rPr>
        <w:b/>
        <w:color w:themeColor="accent2" w:themeTint="97" w:themeShade="95"/>
      </w:rPr>
      <w:tblPr/>
    </w:tblStylePr>
    <w:tblStylePr w:type="lastRow">
      <w:rPr>
        <w:b/>
        <w:color w:themeColor="accent2" w:themeTint="97" w:themeShade="95"/>
      </w:rPr>
      <w:tblPr/>
    </w:tblStylePr>
    <w:tblStylePr w:type="wholeTable">
      <w:rPr>
        <w:color w:themeColor="accent2" w:themeTint="97" w:themeShade="95"/>
        <w:sz w:val="22"/>
      </w:rPr>
      <w:tblPr/>
    </w:tblStylePr>
  </w:style>
  <w:style w:type="table" w:styleId="754">
    <w:name w:val="Grid Table 6 Colorful - Accent 3"/>
    <w:basedOn w:val="852"/>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themeColor="accent3" w:themeTint="fe" w:themeShade="95"/>
        <w:sz w:val="22"/>
      </w:rPr>
      <w:tblPr/>
    </w:tblStylePr>
    <w:tblStylePr w:type="firstCol">
      <w:rPr>
        <w:b/>
        <w:color w:themeColor="accent3" w:themeTint="fe" w:themeShade="95"/>
      </w:rPr>
      <w:tblPr/>
    </w:tblStylePr>
    <w:tblStylePr w:type="firstRow">
      <w:rPr>
        <w:b/>
        <w:color w:themeColor="accent3" w:themeTint="fe" w:themeShade="95"/>
      </w:rPr>
      <w:tblPr/>
      <w:tcPr>
        <w:tcBorders>
          <w:bottom w:val="single" w:color="000000" w:themeColor="accent3" w:sz="12" w:space="0"/>
        </w:tcBorders>
      </w:tcPr>
    </w:tblStylePr>
    <w:tblStylePr w:type="lastCol">
      <w:rPr>
        <w:b/>
        <w:color w:themeColor="accent3" w:themeTint="fe" w:themeShade="95"/>
      </w:rPr>
      <w:tblPr/>
    </w:tblStylePr>
    <w:tblStylePr w:type="lastRow">
      <w:rPr>
        <w:b/>
        <w:color w:themeColor="accent3" w:themeTint="fe" w:themeShade="95"/>
      </w:rPr>
      <w:tblPr/>
    </w:tblStylePr>
    <w:tblStylePr w:type="wholeTable">
      <w:rPr>
        <w:color w:themeColor="accent3" w:themeTint="fe" w:themeShade="95"/>
        <w:sz w:val="22"/>
      </w:rPr>
      <w:tblPr/>
    </w:tblStylePr>
  </w:style>
  <w:style w:type="table" w:styleId="755">
    <w:name w:val="Grid Table 6 Colorful - Accent 4"/>
    <w:basedOn w:val="852"/>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12" w:space="0"/>
        </w:tcBorders>
      </w:tcPr>
    </w:tblStylePr>
    <w:tblStylePr w:type="lastCol">
      <w:rPr>
        <w:b/>
        <w:color w:themeColor="accent4" w:themeTint="9a" w:themeShade="95"/>
      </w:rPr>
      <w:tblPr/>
    </w:tblStylePr>
    <w:tblStylePr w:type="lastRow">
      <w:rPr>
        <w:b/>
        <w:color w:themeColor="accent4" w:themeTint="9a" w:themeShade="95"/>
      </w:rPr>
      <w:tblPr/>
    </w:tblStylePr>
    <w:tblStylePr w:type="wholeTable">
      <w:rPr>
        <w:color w:themeColor="accent4" w:themeTint="9a" w:themeShade="95"/>
        <w:sz w:val="22"/>
      </w:rPr>
      <w:tblPr/>
    </w:tblStylePr>
  </w:style>
  <w:style w:type="table" w:styleId="756">
    <w:name w:val="Grid Table 6 Colorful - Accent 5"/>
    <w:basedOn w:val="852"/>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000000" w:themeColor="accent5" w:sz="12" w:space="0"/>
        </w:tcBorders>
      </w:tcPr>
    </w:tblStylePr>
    <w:tblStylePr w:type="lastCol">
      <w:rPr>
        <w:b/>
        <w:color w:themeColor="accent5" w:themeShade="95"/>
      </w:rPr>
      <w:tblPr/>
    </w:tblStylePr>
    <w:tblStylePr w:type="lastRow">
      <w:rPr>
        <w:b/>
        <w:color w:themeColor="accent5" w:themeShade="95"/>
      </w:rPr>
      <w:tblPr/>
    </w:tblStylePr>
    <w:tblStylePr w:type="wholeTable">
      <w:rPr>
        <w:color w:themeColor="accent5" w:themeShade="95"/>
        <w:sz w:val="22"/>
      </w:rPr>
      <w:tblPr/>
    </w:tblStylePr>
  </w:style>
  <w:style w:type="table" w:styleId="757">
    <w:name w:val="Grid Table 6 Colorful - Accent 6"/>
    <w:basedOn w:val="852"/>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themeColor="accent5"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000000" w:themeColor="accent6" w:sz="12" w:space="0"/>
        </w:tcBorders>
      </w:tcPr>
    </w:tblStylePr>
    <w:tblStylePr w:type="lastCol">
      <w:rPr>
        <w:b/>
        <w:color w:themeColor="accent5" w:themeShade="95"/>
      </w:rPr>
      <w:tblPr/>
    </w:tblStylePr>
    <w:tblStylePr w:type="lastRow">
      <w:rPr>
        <w:b/>
        <w:color w:themeColor="accent5" w:themeShade="95"/>
      </w:rPr>
      <w:tblPr/>
    </w:tblStylePr>
    <w:tblStylePr w:type="wholeTable">
      <w:rPr>
        <w:color w:themeColor="accent5" w:themeShade="95"/>
        <w:sz w:val="22"/>
      </w:rPr>
      <w:tblPr/>
    </w:tblStylePr>
  </w:style>
  <w:style w:type="table" w:styleId="758">
    <w:name w:val="Grid Table 7 Colorful"/>
    <w:basedOn w:val="852"/>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759">
    <w:name w:val="Grid Table 7 Colorful - Accent 1"/>
    <w:basedOn w:val="852"/>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themeColor="accent1" w:themeTint="80" w:themeShade="95"/>
        <w:sz w:val="22"/>
      </w:rPr>
      <w:tbl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760">
    <w:name w:val="Grid Table 7 Colorful - Accent 2"/>
    <w:basedOn w:val="852"/>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761">
    <w:name w:val="Grid Table 7 Colorful - Accent 3"/>
    <w:basedOn w:val="852"/>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themeColor="accent3" w:themeTint="fe" w:themeShade="95"/>
        <w:sz w:val="22"/>
      </w:rPr>
      <w:tbl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762">
    <w:name w:val="Grid Table 7 Colorful - Accent 4"/>
    <w:basedOn w:val="852"/>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763">
    <w:name w:val="Grid Table 7 Colorful - Accent 5"/>
    <w:basedOn w:val="852"/>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themeColor="accent5" w:themeShade="95"/>
        <w:sz w:val="22"/>
      </w:rPr>
      <w:tbl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764">
    <w:name w:val="Grid Table 7 Colorful - Accent 6"/>
    <w:basedOn w:val="852"/>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themeColor="accent6"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themeColor="accent6" w:themeShade="95"/>
        <w:sz w:val="22"/>
      </w:rPr>
      <w:tbl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765">
    <w:name w:val="List Table 1 Light"/>
    <w:basedOn w:val="852"/>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styleId="766">
    <w:name w:val="List Table 1 Light - Accent 1"/>
    <w:basedOn w:val="852"/>
    <w:uiPriority w:val="99"/>
    <w:pPr>
      <w:spacing w:after="0" w:line="240" w:lineRule="auto"/>
    </w:pPr>
    <w:tblPr>
      <w:tblStyleRowBandSize w:val="1"/>
      <w:tblStyleColBandSize w:val="1"/>
    </w:tblPr>
    <w:tblStylePr w:type="band1Horz">
      <w:tblPr/>
      <w:tcPr>
        <w:shd w:val="clear" w:color="FFFFFF" w:fill="D3E0EE" w:themeFill="accent1" w:themeFillTint="40"/>
      </w:tcPr>
    </w:tblStylePr>
    <w:tblStylePr w:type="band1Vert">
      <w:tblPr/>
      <w:tcPr>
        <w:shd w:val="clear" w:color="FFFFFF" w:fill="D3E0EE"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style>
  <w:style w:type="table" w:styleId="767">
    <w:name w:val="List Table 1 Light - Accent 2"/>
    <w:basedOn w:val="852"/>
    <w:uiPriority w:val="99"/>
    <w:pPr>
      <w:spacing w:after="0" w:line="240" w:lineRule="auto"/>
    </w:pPr>
    <w:tblPr>
      <w:tblStyleRowBandSize w:val="1"/>
      <w:tblStyleColBandSize w:val="1"/>
    </w:tblPr>
    <w:tblStylePr w:type="band1Horz">
      <w:tblPr/>
      <w:tcPr>
        <w:shd w:val="clear" w:color="FFFFFF" w:fill="EFD3D2" w:themeFill="accent2" w:themeFillTint="40"/>
      </w:tcPr>
    </w:tblStylePr>
    <w:tblStylePr w:type="band1Vert">
      <w:tblPr/>
      <w:tcPr>
        <w:shd w:val="clear" w:color="FFFFFF" w:fill="EFD3D2"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style>
  <w:style w:type="table" w:styleId="768">
    <w:name w:val="List Table 1 Light - Accent 3"/>
    <w:basedOn w:val="852"/>
    <w:uiPriority w:val="99"/>
    <w:pPr>
      <w:spacing w:after="0" w:line="240" w:lineRule="auto"/>
    </w:pPr>
    <w:tblPr>
      <w:tblStyleRowBandSize w:val="1"/>
      <w:tblStyleColBandSize w:val="1"/>
    </w:tblPr>
    <w:tblStylePr w:type="band1Horz">
      <w:tblPr/>
      <w:tcPr>
        <w:shd w:val="clear" w:color="FFFFFF" w:fill="E6EED5" w:themeFill="accent3" w:themeFillTint="40"/>
      </w:tcPr>
    </w:tblStylePr>
    <w:tblStylePr w:type="band1Vert">
      <w:tblPr/>
      <w:tcPr>
        <w:shd w:val="clear" w:color="FFFFFF" w:fill="E6EED5"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style>
  <w:style w:type="table" w:styleId="769">
    <w:name w:val="List Table 1 Light - Accent 4"/>
    <w:basedOn w:val="852"/>
    <w:uiPriority w:val="99"/>
    <w:pPr>
      <w:spacing w:after="0" w:line="240" w:lineRule="auto"/>
    </w:pPr>
    <w:tblPr>
      <w:tblStyleRowBandSize w:val="1"/>
      <w:tblStyleColBandSize w:val="1"/>
    </w:tblPr>
    <w:tblStylePr w:type="band1Horz">
      <w:tblPr/>
      <w:tcPr>
        <w:shd w:val="clear" w:color="FFFFFF" w:fill="DFD8E7" w:themeFill="accent4" w:themeFillTint="40"/>
      </w:tcPr>
    </w:tblStylePr>
    <w:tblStylePr w:type="band1Vert">
      <w:tblPr/>
      <w:tcPr>
        <w:shd w:val="clear" w:color="FFFFFF" w:fill="DFD8E7"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style>
  <w:style w:type="table" w:styleId="770">
    <w:name w:val="List Table 1 Light - Accent 5"/>
    <w:basedOn w:val="852"/>
    <w:uiPriority w:val="99"/>
    <w:pPr>
      <w:spacing w:after="0" w:line="240" w:lineRule="auto"/>
    </w:pPr>
    <w:tblPr>
      <w:tblStyleRowBandSize w:val="1"/>
      <w:tblStyleColBandSize w:val="1"/>
    </w:tblPr>
    <w:tblStylePr w:type="band1Horz">
      <w:tblPr/>
      <w:tcPr>
        <w:shd w:val="clear" w:color="FFFFFF" w:fill="D1EAF0" w:themeFill="accent5" w:themeFillTint="40"/>
      </w:tcPr>
    </w:tblStylePr>
    <w:tblStylePr w:type="band1Vert">
      <w:tblPr/>
      <w:tcPr>
        <w:shd w:val="clear" w:color="FFFFFF" w:fill="D1EA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style>
  <w:style w:type="table" w:styleId="771">
    <w:name w:val="List Table 1 Light - Accent 6"/>
    <w:basedOn w:val="852"/>
    <w:uiPriority w:val="99"/>
    <w:pPr>
      <w:spacing w:after="0" w:line="240" w:lineRule="auto"/>
    </w:pPr>
    <w:tblPr>
      <w:tblStyleRowBandSize w:val="1"/>
      <w:tblStyleColBandSize w:val="1"/>
    </w:tblPr>
    <w:tblStylePr w:type="band1Horz">
      <w:tblPr/>
      <w:tcPr>
        <w:shd w:val="clear" w:color="FFFFFF" w:fill="FCE4D1" w:themeFill="accent6" w:themeFillTint="40"/>
      </w:tcPr>
    </w:tblStylePr>
    <w:tblStylePr w:type="band1Vert">
      <w:tblPr/>
      <w:tcPr>
        <w:shd w:val="clear" w:color="FFFFFF" w:fill="FCE4D1"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style>
  <w:style w:type="table" w:styleId="772">
    <w:name w:val="List Table 2"/>
    <w:basedOn w:val="852"/>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773">
    <w:name w:val="List Table 2 - Accent 1"/>
    <w:basedOn w:val="852"/>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774">
    <w:name w:val="List Table 2 - Accent 2"/>
    <w:basedOn w:val="852"/>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775">
    <w:name w:val="List Table 2 - Accent 3"/>
    <w:basedOn w:val="852"/>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776">
    <w:name w:val="List Table 2 - Accent 4"/>
    <w:basedOn w:val="852"/>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777">
    <w:name w:val="List Table 2 - Accent 5"/>
    <w:basedOn w:val="852"/>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778">
    <w:name w:val="List Table 2 - Accent 6"/>
    <w:basedOn w:val="852"/>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779">
    <w:name w:val="List Table 3"/>
    <w:basedOn w:val="852"/>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780">
    <w:name w:val="List Table 3 - Accent 1"/>
    <w:basedOn w:val="852"/>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781">
    <w:name w:val="List Table 3 - Accent 2"/>
    <w:basedOn w:val="852"/>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firstCol">
      <w:rPr>
        <w:b/>
      </w:rPr>
      <w:tblPr/>
    </w:tblStylePr>
    <w:tblStylePr w:type="firstRow">
      <w:rPr>
        <w:b/>
        <w:sz w:val="22"/>
      </w:rPr>
      <w:tblPr/>
      <w:tcPr>
        <w:shd w:val="clear" w:color="FFFFFF" w:fill="D99694" w:themeFill="accent2" w:themeFillTint="97"/>
      </w:tcPr>
    </w:tblStylePr>
    <w:tblStylePr w:type="lastCol">
      <w:rPr>
        <w:b/>
      </w:rPr>
      <w:tblPr/>
    </w:tblStylePr>
    <w:tblStylePr w:type="lastRow">
      <w:rPr>
        <w:b/>
      </w:rPr>
      <w:tblPr/>
    </w:tblStylePr>
  </w:style>
  <w:style w:type="table" w:styleId="782">
    <w:name w:val="List Table 3 - Accent 3"/>
    <w:basedOn w:val="852"/>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firstCol">
      <w:rPr>
        <w:b/>
      </w:rPr>
      <w:tblPr/>
    </w:tblStylePr>
    <w:tblStylePr w:type="firstRow">
      <w:rPr>
        <w:b/>
        <w:sz w:val="22"/>
      </w:rPr>
      <w:tblPr/>
      <w:tcPr>
        <w:shd w:val="clear" w:color="FFFFFF" w:fill="C3D69B" w:themeFill="accent3" w:themeFillTint="98"/>
      </w:tcPr>
    </w:tblStylePr>
    <w:tblStylePr w:type="lastCol">
      <w:rPr>
        <w:b/>
      </w:rPr>
      <w:tblPr/>
    </w:tblStylePr>
    <w:tblStylePr w:type="lastRow">
      <w:rPr>
        <w:b/>
      </w:rPr>
      <w:tblPr/>
    </w:tblStylePr>
  </w:style>
  <w:style w:type="table" w:styleId="783">
    <w:name w:val="List Table 3 - Accent 4"/>
    <w:basedOn w:val="852"/>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firstCol">
      <w:rPr>
        <w:b/>
      </w:rPr>
      <w:tblPr/>
    </w:tblStylePr>
    <w:tblStylePr w:type="firstRow">
      <w:rPr>
        <w:b/>
        <w:sz w:val="22"/>
      </w:rPr>
      <w:tblPr/>
      <w:tcPr>
        <w:shd w:val="clear" w:color="FFFFFF" w:fill="B2A1C6" w:themeFill="accent4" w:themeFillTint="9a"/>
      </w:tcPr>
    </w:tblStylePr>
    <w:tblStylePr w:type="lastCol">
      <w:rPr>
        <w:b/>
      </w:rPr>
      <w:tblPr/>
    </w:tblStylePr>
    <w:tblStylePr w:type="lastRow">
      <w:rPr>
        <w:b/>
      </w:rPr>
      <w:tblPr/>
    </w:tblStylePr>
  </w:style>
  <w:style w:type="table" w:styleId="784">
    <w:name w:val="List Table 3 - Accent 5"/>
    <w:basedOn w:val="852"/>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firstCol">
      <w:rPr>
        <w:b/>
      </w:rPr>
      <w:tblPr/>
    </w:tblStylePr>
    <w:tblStylePr w:type="firstRow">
      <w:rPr>
        <w:b/>
        <w:sz w:val="22"/>
      </w:rPr>
      <w:tblPr/>
      <w:tcPr>
        <w:shd w:val="clear" w:color="FFFFFF" w:fill="91CDDC" w:themeFill="accent5" w:themeFillTint="9a"/>
      </w:tcPr>
    </w:tblStylePr>
    <w:tblStylePr w:type="lastCol">
      <w:rPr>
        <w:b/>
      </w:rPr>
      <w:tblPr/>
    </w:tblStylePr>
    <w:tblStylePr w:type="lastRow">
      <w:rPr>
        <w:b/>
      </w:rPr>
      <w:tblPr/>
    </w:tblStylePr>
  </w:style>
  <w:style w:type="table" w:styleId="785">
    <w:name w:val="List Table 3 - Accent 6"/>
    <w:basedOn w:val="852"/>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firstCol">
      <w:rPr>
        <w:b/>
      </w:rPr>
      <w:tblPr/>
    </w:tblStylePr>
    <w:tblStylePr w:type="firstRow">
      <w:rPr>
        <w:b/>
        <w:sz w:val="22"/>
      </w:rPr>
      <w:tblPr/>
      <w:tcPr>
        <w:shd w:val="clear" w:color="FFFFFF" w:fill="F9BF90" w:themeFill="accent6" w:themeFillTint="98"/>
      </w:tcPr>
    </w:tblStylePr>
    <w:tblStylePr w:type="lastCol">
      <w:rPr>
        <w:b/>
      </w:rPr>
      <w:tblPr/>
    </w:tblStylePr>
    <w:tblStylePr w:type="lastRow">
      <w:rPr>
        <w:b/>
      </w:rPr>
      <w:tblPr/>
    </w:tblStylePr>
  </w:style>
  <w:style w:type="table" w:styleId="786">
    <w:name w:val="List Table 4"/>
    <w:basedOn w:val="852"/>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787">
    <w:name w:val="List Table 4 - Accent 1"/>
    <w:basedOn w:val="852"/>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788">
    <w:name w:val="List Table 4 - Accent 2"/>
    <w:basedOn w:val="852"/>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rPr>
      <w:tblPr/>
    </w:tblStylePr>
    <w:tblStylePr w:type="firstRow">
      <w:rPr>
        <w:b/>
        <w:sz w:val="22"/>
      </w:rPr>
      <w:tblPr/>
      <w:tcPr>
        <w:shd w:val="clear" w:color="FFFFFF" w:fill="C0504D" w:themeFill="accent2"/>
      </w:tcPr>
    </w:tblStylePr>
    <w:tblStylePr w:type="lastCol">
      <w:rPr>
        <w:b/>
      </w:rPr>
      <w:tblPr/>
    </w:tblStylePr>
    <w:tblStylePr w:type="lastRow">
      <w:rPr>
        <w:b/>
      </w:rPr>
      <w:tblPr/>
    </w:tblStylePr>
  </w:style>
  <w:style w:type="table" w:styleId="789">
    <w:name w:val="List Table 4 - Accent 3"/>
    <w:basedOn w:val="852"/>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rPr>
      <w:tblPr/>
    </w:tblStylePr>
    <w:tblStylePr w:type="firstRow">
      <w:rPr>
        <w:b/>
        <w:sz w:val="22"/>
      </w:rPr>
      <w:tblPr/>
      <w:tcPr>
        <w:shd w:val="clear" w:color="FFFFFF" w:fill="9BBB59" w:themeFill="accent3"/>
      </w:tcPr>
    </w:tblStylePr>
    <w:tblStylePr w:type="lastCol">
      <w:rPr>
        <w:b/>
      </w:rPr>
      <w:tblPr/>
    </w:tblStylePr>
    <w:tblStylePr w:type="lastRow">
      <w:rPr>
        <w:b/>
      </w:rPr>
      <w:tblPr/>
    </w:tblStylePr>
  </w:style>
  <w:style w:type="table" w:styleId="790">
    <w:name w:val="List Table 4 - Accent 4"/>
    <w:basedOn w:val="852"/>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rPr>
      <w:tblPr/>
    </w:tblStylePr>
    <w:tblStylePr w:type="firstRow">
      <w:rPr>
        <w:b/>
        <w:sz w:val="22"/>
      </w:rPr>
      <w:tblPr/>
      <w:tcPr>
        <w:shd w:val="clear" w:color="FFFFFF" w:fill="8064A2" w:themeFill="accent4"/>
      </w:tcPr>
    </w:tblStylePr>
    <w:tblStylePr w:type="lastCol">
      <w:rPr>
        <w:b/>
      </w:rPr>
      <w:tblPr/>
    </w:tblStylePr>
    <w:tblStylePr w:type="lastRow">
      <w:rPr>
        <w:b/>
      </w:rPr>
      <w:tblPr/>
    </w:tblStylePr>
  </w:style>
  <w:style w:type="table" w:styleId="791">
    <w:name w:val="List Table 4 - Accent 5"/>
    <w:basedOn w:val="852"/>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rPr>
      <w:tblPr/>
    </w:tblStylePr>
    <w:tblStylePr w:type="firstRow">
      <w:rPr>
        <w:b/>
        <w:sz w:val="22"/>
      </w:rPr>
      <w:tblPr/>
      <w:tcPr>
        <w:shd w:val="clear" w:color="FFFFFF" w:fill="4BACC6" w:themeFill="accent5"/>
      </w:tcPr>
    </w:tblStylePr>
    <w:tblStylePr w:type="lastCol">
      <w:rPr>
        <w:b/>
      </w:rPr>
      <w:tblPr/>
    </w:tblStylePr>
    <w:tblStylePr w:type="lastRow">
      <w:rPr>
        <w:b/>
      </w:rPr>
      <w:tblPr/>
    </w:tblStylePr>
  </w:style>
  <w:style w:type="table" w:styleId="792">
    <w:name w:val="List Table 4 - Accent 6"/>
    <w:basedOn w:val="852"/>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rPr>
      <w:tblPr/>
    </w:tblStylePr>
    <w:tblStylePr w:type="firstRow">
      <w:rPr>
        <w:b/>
        <w:sz w:val="22"/>
      </w:rPr>
      <w:tblPr/>
      <w:tcPr>
        <w:shd w:val="clear" w:color="FFFFFF" w:fill="F79646" w:themeFill="accent6"/>
      </w:tcPr>
    </w:tblStylePr>
    <w:tblStylePr w:type="lastCol">
      <w:rPr>
        <w:b/>
      </w:rPr>
      <w:tblPr/>
    </w:tblStylePr>
    <w:tblStylePr w:type="lastRow">
      <w:rPr>
        <w:b/>
      </w:rPr>
      <w:tblPr/>
    </w:tblStylePr>
  </w:style>
  <w:style w:type="table" w:styleId="793">
    <w:name w:val="List Table 5 Dark"/>
    <w:basedOn w:val="852"/>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text1" w:sz="32" w:space="0"/>
          <w:right w:val="single" w:color="000000" w:themeColor="light1" w:sz="4" w:space="0"/>
        </w:tcBorders>
      </w:tcPr>
    </w:tblStylePr>
    <w:tblStylePr w:type="firstRow">
      <w:rPr>
        <w:b/>
        <w:color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themeColor="light1"/>
        <w:sz w:val="22"/>
      </w:rPr>
      <w:tblPr/>
    </w:tblStylePr>
    <w:tblStylePr w:type="wholeTable">
      <w:rPr>
        <w:color w:themeColor="light1"/>
        <w:sz w:val="22"/>
      </w:rPr>
      <w:tblPr/>
    </w:tblStylePr>
  </w:style>
  <w:style w:type="table" w:styleId="794">
    <w:name w:val="List Table 5 Dark - Accent 1"/>
    <w:basedOn w:val="852"/>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F81BD" w:themeFill="accent1"/>
      </w:tcPr>
    </w:tblStylePr>
    <w:tblStylePr w:type="band1Vert">
      <w:tblPr/>
      <w:tcPr>
        <w:tcBorders>
          <w:left w:val="single" w:color="000000" w:themeColor="light1" w:sz="4" w:space="0"/>
          <w:right w:val="single" w:color="000000" w:themeColor="light1" w:sz="4" w:space="0"/>
        </w:tcBorders>
        <w:shd w:val="clear" w:color="FFFFFF" w:fill="4F81BD" w:themeFill="accent1"/>
      </w:tcPr>
    </w:tblStylePr>
    <w:tblStylePr w:type="band2Horz">
      <w:tblPr/>
      <w:tcPr>
        <w:tcBorders>
          <w:top w:val="single" w:color="000000" w:themeColor="light1" w:sz="4" w:space="0"/>
          <w:bottom w:val="single" w:color="000000" w:themeColor="light1" w:sz="4" w:space="0"/>
        </w:tcBorders>
        <w:shd w:val="clear" w:color="FFFFFF" w:fill="4F81BD"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1" w:sz="32" w:space="0"/>
          <w:right w:val="single" w:color="000000" w:themeColor="light1" w:sz="4" w:space="0"/>
        </w:tcBorders>
      </w:tcPr>
    </w:tblStylePr>
    <w:tblStylePr w:type="firstRow">
      <w:rPr>
        <w:b/>
        <w:color w:themeColor="light1"/>
        <w:sz w:val="22"/>
      </w:rPr>
      <w:tblPr/>
      <w:tcPr>
        <w:tcBorders>
          <w:top w:val="single" w:color="000000" w:themeColor="accent1" w:sz="32" w:space="0"/>
          <w:bottom w:val="single" w:color="000000" w:themeColor="light1" w:sz="12" w:space="0"/>
        </w:tcBorders>
        <w:shd w:val="clear" w:color="FFFFFF" w:fill="4F81BD"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themeColor="light1"/>
        <w:sz w:val="22"/>
      </w:rPr>
      <w:tblPr/>
    </w:tblStylePr>
    <w:tblStylePr w:type="wholeTable">
      <w:rPr>
        <w:color w:themeColor="light1"/>
        <w:sz w:val="22"/>
      </w:rPr>
      <w:tblPr/>
    </w:tblStylePr>
  </w:style>
  <w:style w:type="table" w:styleId="795">
    <w:name w:val="List Table 5 Dark - Accent 2"/>
    <w:basedOn w:val="852"/>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D99694" w:themeFill="accent2" w:themeFillTint="97"/>
      </w:tcPr>
    </w:tblStylePr>
    <w:tblStylePr w:type="band1Vert">
      <w:tblPr/>
      <w:tcPr>
        <w:tcBorders>
          <w:left w:val="single" w:color="000000" w:themeColor="light1" w:sz="4" w:space="0"/>
          <w:right w:val="single" w:color="000000" w:themeColor="light1" w:sz="4" w:space="0"/>
        </w:tcBorders>
        <w:shd w:val="clear" w:color="FFFFFF" w:fill="D99694" w:themeFill="accent2" w:themeFillTint="97"/>
      </w:tcPr>
    </w:tblStylePr>
    <w:tblStylePr w:type="band2Horz">
      <w:tblPr/>
      <w:tcPr>
        <w:tcBorders>
          <w:top w:val="single" w:color="000000" w:themeColor="light1" w:sz="4" w:space="0"/>
          <w:bottom w:val="single" w:color="000000" w:themeColor="light1" w:sz="4" w:space="0"/>
        </w:tcBorders>
        <w:shd w:val="clear" w:color="FFFFFF" w:fill="D99694"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2" w:sz="32" w:space="0"/>
          <w:right w:val="single" w:color="000000" w:themeColor="light1" w:sz="4" w:space="0"/>
        </w:tcBorders>
      </w:tcPr>
    </w:tblStylePr>
    <w:tblStylePr w:type="firstRow">
      <w:rPr>
        <w:b/>
        <w:color w:themeColor="light1"/>
        <w:sz w:val="22"/>
      </w:rPr>
      <w:tblPr/>
      <w:tcPr>
        <w:tcBorders>
          <w:top w:val="single" w:color="000000" w:themeColor="accent2" w:sz="32" w:space="0"/>
          <w:bottom w:val="single" w:color="000000" w:themeColor="light1" w:sz="12" w:space="0"/>
        </w:tcBorders>
        <w:shd w:val="clear" w:color="FFFFFF" w:fill="D99694"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themeColor="light1"/>
        <w:sz w:val="22"/>
      </w:rPr>
      <w:tblPr/>
    </w:tblStylePr>
    <w:tblStylePr w:type="wholeTable">
      <w:rPr>
        <w:color w:themeColor="light1"/>
        <w:sz w:val="22"/>
      </w:rPr>
      <w:tblPr/>
    </w:tblStylePr>
  </w:style>
  <w:style w:type="table" w:styleId="796">
    <w:name w:val="List Table 5 Dark - Accent 3"/>
    <w:basedOn w:val="852"/>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3D69B" w:themeFill="accent3" w:themeFillTint="98"/>
      </w:tcPr>
    </w:tblStylePr>
    <w:tblStylePr w:type="band1Vert">
      <w:tblPr/>
      <w:tcPr>
        <w:tcBorders>
          <w:left w:val="single" w:color="000000" w:themeColor="light1" w:sz="4" w:space="0"/>
          <w:right w:val="single" w:color="000000" w:themeColor="light1" w:sz="4" w:space="0"/>
        </w:tcBorders>
        <w:shd w:val="clear" w:color="FFFFFF" w:fill="C3D69B" w:themeFill="accent3" w:themeFillTint="98"/>
      </w:tcPr>
    </w:tblStylePr>
    <w:tblStylePr w:type="band2Horz">
      <w:tblPr/>
      <w:tcPr>
        <w:tcBorders>
          <w:top w:val="single" w:color="000000" w:themeColor="light1" w:sz="4" w:space="0"/>
          <w:bottom w:val="single" w:color="000000" w:themeColor="light1" w:sz="4" w:space="0"/>
        </w:tcBorders>
        <w:shd w:val="clear" w:color="FFFFFF" w:fill="C3D69B"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3" w:sz="32" w:space="0"/>
          <w:right w:val="single" w:color="000000" w:themeColor="light1" w:sz="4" w:space="0"/>
        </w:tcBorders>
      </w:tcPr>
    </w:tblStylePr>
    <w:tblStylePr w:type="firstRow">
      <w:rPr>
        <w:b/>
        <w:color w:themeColor="light1"/>
        <w:sz w:val="22"/>
      </w:rPr>
      <w:tblPr/>
      <w:tcPr>
        <w:tcBorders>
          <w:top w:val="single" w:color="000000" w:themeColor="accent3" w:sz="32" w:space="0"/>
          <w:bottom w:val="single" w:color="000000" w:themeColor="light1" w:sz="12" w:space="0"/>
        </w:tcBorders>
        <w:shd w:val="clear" w:color="FFFFFF" w:fill="C3D69B"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themeColor="light1"/>
        <w:sz w:val="22"/>
      </w:rPr>
      <w:tblPr/>
    </w:tblStylePr>
    <w:tblStylePr w:type="wholeTable">
      <w:rPr>
        <w:color w:themeColor="light1"/>
        <w:sz w:val="22"/>
      </w:rPr>
      <w:tblPr/>
    </w:tblStylePr>
  </w:style>
  <w:style w:type="table" w:styleId="797">
    <w:name w:val="List Table 5 Dark - Accent 4"/>
    <w:basedOn w:val="852"/>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B2A1C6" w:themeFill="accent4" w:themeFillTint="9a"/>
      </w:tcPr>
    </w:tblStylePr>
    <w:tblStylePr w:type="band1Vert">
      <w:tblPr/>
      <w:tcPr>
        <w:tcBorders>
          <w:left w:val="single" w:color="000000" w:themeColor="light1" w:sz="4" w:space="0"/>
          <w:right w:val="single" w:color="000000" w:themeColor="light1" w:sz="4" w:space="0"/>
        </w:tcBorders>
        <w:shd w:val="clear" w:color="FFFFFF" w:fill="B2A1C6" w:themeFill="accent4" w:themeFillTint="9a"/>
      </w:tcPr>
    </w:tblStylePr>
    <w:tblStylePr w:type="band2Horz">
      <w:tblPr/>
      <w:tcPr>
        <w:tcBorders>
          <w:top w:val="single" w:color="000000" w:themeColor="light1" w:sz="4" w:space="0"/>
          <w:bottom w:val="single" w:color="000000" w:themeColor="light1" w:sz="4" w:space="0"/>
        </w:tcBorders>
        <w:shd w:val="clear" w:color="FFFFFF" w:fill="B2A1C6"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4" w:sz="32" w:space="0"/>
          <w:right w:val="single" w:color="000000" w:themeColor="light1" w:sz="4" w:space="0"/>
        </w:tcBorders>
      </w:tcPr>
    </w:tblStylePr>
    <w:tblStylePr w:type="firstRow">
      <w:rPr>
        <w:b/>
        <w:color w:themeColor="light1"/>
        <w:sz w:val="22"/>
      </w:rPr>
      <w:tblPr/>
      <w:tcPr>
        <w:tcBorders>
          <w:top w:val="single" w:color="000000" w:themeColor="accent4" w:sz="32" w:space="0"/>
          <w:bottom w:val="single" w:color="000000" w:themeColor="light1" w:sz="12" w:space="0"/>
        </w:tcBorders>
        <w:shd w:val="clear" w:color="FFFFFF" w:fill="B2A1C6"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themeColor="light1"/>
        <w:sz w:val="22"/>
      </w:rPr>
      <w:tblPr/>
    </w:tblStylePr>
    <w:tblStylePr w:type="wholeTable">
      <w:rPr>
        <w:color w:themeColor="light1"/>
        <w:sz w:val="22"/>
      </w:rPr>
      <w:tblPr/>
    </w:tblStylePr>
  </w:style>
  <w:style w:type="table" w:styleId="798">
    <w:name w:val="List Table 5 Dark - Accent 5"/>
    <w:basedOn w:val="852"/>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1CDDC" w:themeFill="accent5" w:themeFillTint="9a"/>
      </w:tcPr>
    </w:tblStylePr>
    <w:tblStylePr w:type="band1Vert">
      <w:tblPr/>
      <w:tcPr>
        <w:tcBorders>
          <w:left w:val="single" w:color="000000" w:themeColor="light1" w:sz="4" w:space="0"/>
          <w:right w:val="single" w:color="000000" w:themeColor="light1" w:sz="4" w:space="0"/>
        </w:tcBorders>
        <w:shd w:val="clear" w:color="FFFFFF" w:fill="91CDDC" w:themeFill="accent5" w:themeFillTint="9a"/>
      </w:tcPr>
    </w:tblStylePr>
    <w:tblStylePr w:type="band2Horz">
      <w:tblPr/>
      <w:tcPr>
        <w:tcBorders>
          <w:top w:val="single" w:color="000000" w:themeColor="light1" w:sz="4" w:space="0"/>
          <w:bottom w:val="single" w:color="000000" w:themeColor="light1" w:sz="4" w:space="0"/>
        </w:tcBorders>
        <w:shd w:val="clear" w:color="FFFFFF" w:fill="91CDDC"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5" w:sz="32" w:space="0"/>
          <w:right w:val="single" w:color="000000" w:themeColor="light1" w:sz="4" w:space="0"/>
        </w:tcBorders>
      </w:tcPr>
    </w:tblStylePr>
    <w:tblStylePr w:type="firstRow">
      <w:rPr>
        <w:b/>
        <w:color w:themeColor="light1"/>
        <w:sz w:val="22"/>
      </w:rPr>
      <w:tblPr/>
      <w:tcPr>
        <w:tcBorders>
          <w:top w:val="single" w:color="000000" w:themeColor="accent5" w:sz="32" w:space="0"/>
          <w:bottom w:val="single" w:color="000000" w:themeColor="light1" w:sz="12" w:space="0"/>
        </w:tcBorders>
        <w:shd w:val="clear" w:color="FFFFFF" w:fill="91CDDC"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themeColor="light1"/>
        <w:sz w:val="22"/>
      </w:rPr>
      <w:tblPr/>
    </w:tblStylePr>
    <w:tblStylePr w:type="wholeTable">
      <w:rPr>
        <w:color w:themeColor="light1"/>
        <w:sz w:val="22"/>
      </w:rPr>
      <w:tblPr/>
    </w:tblStylePr>
  </w:style>
  <w:style w:type="table" w:styleId="799">
    <w:name w:val="List Table 5 Dark - Accent 6"/>
    <w:basedOn w:val="852"/>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F9BF90" w:themeFill="accent6" w:themeFillTint="98"/>
      </w:tcPr>
    </w:tblStylePr>
    <w:tblStylePr w:type="band1Vert">
      <w:tblPr/>
      <w:tcPr>
        <w:tcBorders>
          <w:left w:val="single" w:color="000000" w:themeColor="light1" w:sz="4" w:space="0"/>
          <w:right w:val="single" w:color="000000" w:themeColor="light1" w:sz="4" w:space="0"/>
        </w:tcBorders>
        <w:shd w:val="clear" w:color="FFFFFF" w:fill="F9BF90" w:themeFill="accent6" w:themeFillTint="98"/>
      </w:tcPr>
    </w:tblStylePr>
    <w:tblStylePr w:type="band2Horz">
      <w:tblPr/>
      <w:tcPr>
        <w:tcBorders>
          <w:top w:val="single" w:color="000000" w:themeColor="light1" w:sz="4" w:space="0"/>
          <w:bottom w:val="single" w:color="000000" w:themeColor="light1" w:sz="4" w:space="0"/>
        </w:tcBorders>
        <w:shd w:val="clear" w:color="FFFFFF" w:fill="F9BF90"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6" w:sz="32" w:space="0"/>
          <w:right w:val="single" w:color="000000" w:themeColor="light1" w:sz="4" w:space="0"/>
        </w:tcBorders>
      </w:tcPr>
    </w:tblStylePr>
    <w:tblStylePr w:type="firstRow">
      <w:rPr>
        <w:b/>
        <w:color w:themeColor="light1"/>
        <w:sz w:val="22"/>
      </w:rPr>
      <w:tblPr/>
      <w:tcPr>
        <w:tcBorders>
          <w:top w:val="single" w:color="000000" w:themeColor="accent6" w:sz="32" w:space="0"/>
          <w:bottom w:val="single" w:color="000000" w:themeColor="light1" w:sz="12" w:space="0"/>
        </w:tcBorders>
        <w:shd w:val="clear" w:color="FFFFFF" w:fill="F9BF90"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themeColor="light1"/>
        <w:sz w:val="22"/>
      </w:rPr>
      <w:tblPr/>
    </w:tblStylePr>
    <w:tblStylePr w:type="wholeTable">
      <w:rPr>
        <w:color w:themeColor="light1"/>
        <w:sz w:val="22"/>
      </w:rPr>
      <w:tblPr/>
    </w:tblStylePr>
  </w:style>
  <w:style w:type="table" w:styleId="800">
    <w:name w:val="List Table 6 Colorful"/>
    <w:basedOn w:val="852"/>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sz w:val="22"/>
      </w:rPr>
      <w:tblPr/>
    </w:tblStylePr>
    <w:tblStylePr w:type="firstCol">
      <w:rPr>
        <w:b/>
        <w:color w:themeColor="text1"/>
      </w:rPr>
      <w:tblPr/>
    </w:tblStylePr>
    <w:tblStylePr w:type="firstRow">
      <w:rPr>
        <w:b/>
        <w:color w:themeColor="text1"/>
      </w:rPr>
      <w:tblPr/>
      <w:tcPr>
        <w:tcBorders>
          <w:bottom w:val="single" w:color="000000" w:themeColor="text1" w:sz="4" w:space="0"/>
        </w:tcBorders>
      </w:tcPr>
    </w:tblStylePr>
    <w:tblStylePr w:type="lastCol">
      <w:rPr>
        <w:b/>
        <w:color w:themeColor="text1"/>
      </w:rPr>
      <w:tblPr/>
    </w:tblStylePr>
    <w:tblStylePr w:type="lastRow">
      <w:rPr>
        <w:b/>
        <w:color w:themeColor="text1"/>
      </w:rPr>
      <w:tblPr/>
      <w:tcPr>
        <w:tcBorders>
          <w:top w:val="single" w:color="000000" w:themeColor="text1" w:sz="4" w:space="0"/>
        </w:tcBorders>
      </w:tcPr>
    </w:tblStylePr>
  </w:style>
  <w:style w:type="table" w:styleId="801">
    <w:name w:val="List Table 6 Colorful - Accent 1"/>
    <w:basedOn w:val="852"/>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themeColor="accent1" w:themeShade="95"/>
        <w:sz w:val="22"/>
      </w:rPr>
      <w:tblPr/>
    </w:tblStylePr>
    <w:tblStylePr w:type="firstCol">
      <w:rPr>
        <w:b/>
        <w:color w:themeColor="accent1" w:themeShade="95"/>
      </w:rPr>
      <w:tblPr/>
    </w:tblStylePr>
    <w:tblStylePr w:type="firstRow">
      <w:rPr>
        <w:b/>
        <w:color w:themeColor="accent1" w:themeShade="95"/>
      </w:rPr>
      <w:tblPr/>
      <w:tcPr>
        <w:tcBorders>
          <w:bottom w:val="single" w:color="000000" w:themeColor="accent1" w:sz="4" w:space="0"/>
        </w:tcBorders>
      </w:tcPr>
    </w:tblStylePr>
    <w:tblStylePr w:type="lastCol">
      <w:rPr>
        <w:b/>
        <w:color w:themeColor="accent1" w:themeShade="95"/>
      </w:rPr>
      <w:tblPr/>
    </w:tblStylePr>
    <w:tblStylePr w:type="lastRow">
      <w:rPr>
        <w:b/>
        <w:color w:themeColor="accent1" w:themeShade="95"/>
      </w:rPr>
      <w:tblPr/>
      <w:tcPr>
        <w:tcBorders>
          <w:top w:val="single" w:color="000000" w:themeColor="accent1" w:sz="4" w:space="0"/>
        </w:tcBorders>
      </w:tcPr>
    </w:tblStylePr>
  </w:style>
  <w:style w:type="table" w:styleId="802">
    <w:name w:val="List Table 6 Colorful - Accent 2"/>
    <w:basedOn w:val="852"/>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4" w:space="0"/>
        </w:tcBorders>
      </w:tcPr>
    </w:tblStylePr>
    <w:tblStylePr w:type="lastCol">
      <w:rPr>
        <w:b/>
        <w:color w:themeColor="accent2" w:themeTint="97" w:themeShade="95"/>
      </w:rPr>
      <w:tblPr/>
    </w:tblStylePr>
    <w:tblStylePr w:type="lastRow">
      <w:rPr>
        <w:b/>
        <w:color w:themeColor="accent2" w:themeTint="97" w:themeShade="95"/>
      </w:rPr>
      <w:tblPr/>
      <w:tcPr>
        <w:tcBorders>
          <w:top w:val="single" w:color="000000" w:themeColor="accent2" w:sz="4" w:space="0"/>
        </w:tcBorders>
      </w:tcPr>
    </w:tblStylePr>
  </w:style>
  <w:style w:type="table" w:styleId="803">
    <w:name w:val="List Table 6 Colorful - Accent 3"/>
    <w:basedOn w:val="852"/>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themeColor="accent3" w:themeTint="98" w:themeShade="95"/>
        <w:sz w:val="22"/>
      </w:rPr>
      <w:tblPr/>
    </w:tblStylePr>
    <w:tblStylePr w:type="firstCol">
      <w:rPr>
        <w:b/>
        <w:color w:themeColor="accent3" w:themeTint="98" w:themeShade="95"/>
      </w:rPr>
      <w:tblPr/>
    </w:tblStylePr>
    <w:tblStylePr w:type="firstRow">
      <w:rPr>
        <w:b/>
        <w:color w:themeColor="accent3" w:themeTint="98" w:themeShade="95"/>
      </w:rPr>
      <w:tblPr/>
      <w:tcPr>
        <w:tcBorders>
          <w:bottom w:val="single" w:color="000000" w:themeColor="accent3" w:sz="4" w:space="0"/>
        </w:tcBorders>
      </w:tcPr>
    </w:tblStylePr>
    <w:tblStylePr w:type="lastCol">
      <w:rPr>
        <w:b/>
        <w:color w:themeColor="accent3" w:themeTint="98" w:themeShade="95"/>
      </w:rPr>
      <w:tblPr/>
    </w:tblStylePr>
    <w:tblStylePr w:type="lastRow">
      <w:rPr>
        <w:b/>
        <w:color w:themeColor="accent3" w:themeTint="98" w:themeShade="95"/>
      </w:rPr>
      <w:tblPr/>
      <w:tcPr>
        <w:tcBorders>
          <w:top w:val="single" w:color="000000" w:themeColor="accent3" w:sz="4" w:space="0"/>
        </w:tcBorders>
      </w:tcPr>
    </w:tblStylePr>
  </w:style>
  <w:style w:type="table" w:styleId="804">
    <w:name w:val="List Table 6 Colorful - Accent 4"/>
    <w:basedOn w:val="852"/>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4" w:space="0"/>
        </w:tcBorders>
      </w:tcPr>
    </w:tblStylePr>
    <w:tblStylePr w:type="lastCol">
      <w:rPr>
        <w:b/>
        <w:color w:themeColor="accent4" w:themeTint="9a" w:themeShade="95"/>
      </w:rPr>
      <w:tblPr/>
    </w:tblStylePr>
    <w:tblStylePr w:type="lastRow">
      <w:rPr>
        <w:b/>
        <w:color w:themeColor="accent4" w:themeTint="9a" w:themeShade="95"/>
      </w:rPr>
      <w:tblPr/>
      <w:tcPr>
        <w:tcBorders>
          <w:top w:val="single" w:color="000000" w:themeColor="accent4" w:sz="4" w:space="0"/>
        </w:tcBorders>
      </w:tcPr>
    </w:tblStylePr>
  </w:style>
  <w:style w:type="table" w:styleId="805">
    <w:name w:val="List Table 6 Colorful - Accent 5"/>
    <w:basedOn w:val="852"/>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themeColor="accent5" w:themeTint="9a" w:themeShade="95"/>
        <w:sz w:val="22"/>
      </w:rPr>
      <w:tblPr/>
    </w:tblStylePr>
    <w:tblStylePr w:type="firstCol">
      <w:rPr>
        <w:b/>
        <w:color w:themeColor="accent5" w:themeTint="9a" w:themeShade="95"/>
      </w:rPr>
      <w:tblPr/>
    </w:tblStylePr>
    <w:tblStylePr w:type="firstRow">
      <w:rPr>
        <w:b/>
        <w:color w:themeColor="accent5" w:themeTint="9a" w:themeShade="95"/>
      </w:rPr>
      <w:tblPr/>
      <w:tcPr>
        <w:tcBorders>
          <w:bottom w:val="single" w:color="000000" w:themeColor="accent5" w:sz="4" w:space="0"/>
        </w:tcBorders>
      </w:tcPr>
    </w:tblStylePr>
    <w:tblStylePr w:type="lastCol">
      <w:rPr>
        <w:b/>
        <w:color w:themeColor="accent5" w:themeTint="9a" w:themeShade="95"/>
      </w:rPr>
      <w:tblPr/>
    </w:tblStylePr>
    <w:tblStylePr w:type="lastRow">
      <w:rPr>
        <w:b/>
        <w:color w:themeColor="accent5" w:themeTint="9a" w:themeShade="95"/>
      </w:rPr>
      <w:tblPr/>
      <w:tcPr>
        <w:tcBorders>
          <w:top w:val="single" w:color="000000" w:themeColor="accent5" w:sz="4" w:space="0"/>
        </w:tcBorders>
      </w:tcPr>
    </w:tblStylePr>
  </w:style>
  <w:style w:type="table" w:styleId="806">
    <w:name w:val="List Table 6 Colorful - Accent 6"/>
    <w:basedOn w:val="852"/>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themeColor="accent6" w:themeTint="98" w:themeShade="95"/>
        <w:sz w:val="22"/>
      </w:rPr>
      <w:tblPr/>
    </w:tblStylePr>
    <w:tblStylePr w:type="firstCol">
      <w:rPr>
        <w:b/>
        <w:color w:themeColor="accent6" w:themeTint="98" w:themeShade="95"/>
      </w:rPr>
      <w:tblPr/>
    </w:tblStylePr>
    <w:tblStylePr w:type="firstRow">
      <w:rPr>
        <w:b/>
        <w:color w:themeColor="accent6" w:themeTint="98" w:themeShade="95"/>
      </w:rPr>
      <w:tblPr/>
      <w:tcPr>
        <w:tcBorders>
          <w:bottom w:val="single" w:color="000000" w:themeColor="accent6" w:sz="4" w:space="0"/>
        </w:tcBorders>
      </w:tcPr>
    </w:tblStylePr>
    <w:tblStylePr w:type="lastCol">
      <w:rPr>
        <w:b/>
        <w:color w:themeColor="accent6" w:themeTint="98" w:themeShade="95"/>
      </w:rPr>
      <w:tblPr/>
    </w:tblStylePr>
    <w:tblStylePr w:type="lastRow">
      <w:rPr>
        <w:b/>
        <w:color w:themeColor="accent6" w:themeTint="98" w:themeShade="95"/>
      </w:rPr>
      <w:tblPr/>
      <w:tcPr>
        <w:tcBorders>
          <w:top w:val="single" w:color="000000" w:themeColor="accent6" w:sz="4" w:space="0"/>
        </w:tcBorders>
      </w:tcPr>
    </w:tblStylePr>
  </w:style>
  <w:style w:type="table" w:styleId="807">
    <w:name w:val="List Table 7 Colorful"/>
    <w:basedOn w:val="852"/>
    <w:uiPriority w:val="99"/>
    <w:pPr>
      <w:spacing w:after="0" w:line="240" w:lineRule="auto"/>
    </w:pPr>
    <w:tblPr>
      <w:tblStyleRowBandSize w:val="1"/>
      <w:tblStyleColBandSize w:val="1"/>
      <w:tblBorders>
        <w:right w:val="single" w:color="000000" w:themeColor="text1" w:themeTint="80" w:sz="4" w:space="0"/>
      </w:tblBorders>
    </w:tblPr>
    <w:tblStylePr w:type="band1Horz">
      <w:rPr>
        <w:color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themeColor="text1" w:themeTint="80" w:themeShade="95"/>
        <w:sz w:val="22"/>
      </w:rPr>
      <w:tblPr/>
    </w:tblStylePr>
  </w:style>
  <w:style w:type="table" w:styleId="808">
    <w:name w:val="List Table 7 Colorful - Accent 1"/>
    <w:basedOn w:val="852"/>
    <w:uiPriority w:val="99"/>
    <w:pPr>
      <w:spacing w:after="0" w:line="240" w:lineRule="auto"/>
    </w:pPr>
    <w:tblPr>
      <w:tblStyleRowBandSize w:val="1"/>
      <w:tblStyleColBandSize w:val="1"/>
      <w:tblBorders>
        <w:right w:val="single" w:color="000000" w:themeColor="accent1" w:sz="4" w:space="0"/>
      </w:tblBorders>
    </w:tblPr>
    <w:tblStylePr w:type="band1Horz">
      <w:rPr>
        <w:color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themeColor="accent1" w:themeShade="95"/>
        <w:sz w:val="22"/>
      </w:rPr>
      <w:tbl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1" w:themeShade="95"/>
        <w:sz w:val="22"/>
      </w:rPr>
      <w:tblPr/>
    </w:tblStylePr>
  </w:style>
  <w:style w:type="table" w:styleId="809">
    <w:name w:val="List Table 7 Colorful - Accent 2"/>
    <w:basedOn w:val="852"/>
    <w:uiPriority w:val="99"/>
    <w:pPr>
      <w:spacing w:after="0" w:line="240" w:lineRule="auto"/>
    </w:pPr>
    <w:tblPr>
      <w:tblStyleRowBandSize w:val="1"/>
      <w:tblStyleColBandSize w:val="1"/>
      <w:tblBorders>
        <w:right w:val="single" w:color="000000" w:themeColor="accent2" w:themeTint="97" w:sz="4" w:space="0"/>
      </w:tblBorders>
    </w:tblPr>
    <w:tblStylePr w:type="band1Horz">
      <w:rPr>
        <w:color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2" w:themeTint="97" w:themeShade="95"/>
        <w:sz w:val="22"/>
      </w:rPr>
      <w:tblPr/>
    </w:tblStylePr>
  </w:style>
  <w:style w:type="table" w:styleId="810">
    <w:name w:val="List Table 7 Colorful - Accent 3"/>
    <w:basedOn w:val="852"/>
    <w:uiPriority w:val="99"/>
    <w:pPr>
      <w:spacing w:after="0" w:line="240" w:lineRule="auto"/>
    </w:pPr>
    <w:tblPr>
      <w:tblStyleRowBandSize w:val="1"/>
      <w:tblStyleColBandSize w:val="1"/>
      <w:tblBorders>
        <w:right w:val="single" w:color="000000" w:themeColor="accent3" w:themeTint="98" w:sz="4" w:space="0"/>
      </w:tblBorders>
    </w:tblPr>
    <w:tblStylePr w:type="band1Horz">
      <w:rPr>
        <w:color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themeColor="accent3" w:themeTint="98" w:themeShade="95"/>
        <w:sz w:val="22"/>
      </w:rPr>
      <w:tbl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3" w:themeTint="98" w:themeShade="95"/>
        <w:sz w:val="22"/>
      </w:rPr>
      <w:tblPr/>
    </w:tblStylePr>
  </w:style>
  <w:style w:type="table" w:styleId="811">
    <w:name w:val="List Table 7 Colorful - Accent 4"/>
    <w:basedOn w:val="852"/>
    <w:uiPriority w:val="99"/>
    <w:pPr>
      <w:spacing w:after="0" w:line="240" w:lineRule="auto"/>
    </w:pPr>
    <w:tblPr>
      <w:tblStyleRowBandSize w:val="1"/>
      <w:tblStyleColBandSize w:val="1"/>
      <w:tblBorders>
        <w:right w:val="single" w:color="000000" w:themeColor="accent4" w:themeTint="9a" w:sz="4" w:space="0"/>
      </w:tblBorders>
    </w:tblPr>
    <w:tblStylePr w:type="band1Horz">
      <w:rPr>
        <w:color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4" w:themeTint="9a" w:themeShade="95"/>
        <w:sz w:val="22"/>
      </w:rPr>
      <w:tblPr/>
    </w:tblStylePr>
  </w:style>
  <w:style w:type="table" w:styleId="812">
    <w:name w:val="List Table 7 Colorful - Accent 5"/>
    <w:basedOn w:val="852"/>
    <w:uiPriority w:val="99"/>
    <w:pPr>
      <w:spacing w:after="0" w:line="240" w:lineRule="auto"/>
    </w:pPr>
    <w:tblPr>
      <w:tblStyleRowBandSize w:val="1"/>
      <w:tblStyleColBandSize w:val="1"/>
      <w:tblBorders>
        <w:right w:val="single" w:color="000000" w:themeColor="accent5" w:themeTint="9a" w:sz="4" w:space="0"/>
      </w:tblBorders>
    </w:tblPr>
    <w:tblStylePr w:type="band1Horz">
      <w:rPr>
        <w:color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themeColor="accent5" w:themeTint="9a" w:themeShade="95"/>
        <w:sz w:val="22"/>
      </w:rPr>
      <w:tbl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5" w:themeTint="9a" w:themeShade="95"/>
        <w:sz w:val="22"/>
      </w:rPr>
      <w:tblPr/>
    </w:tblStylePr>
  </w:style>
  <w:style w:type="table" w:styleId="813">
    <w:name w:val="List Table 7 Colorful - Accent 6"/>
    <w:basedOn w:val="852"/>
    <w:uiPriority w:val="99"/>
    <w:pPr>
      <w:spacing w:after="0" w:line="240" w:lineRule="auto"/>
    </w:pPr>
    <w:tblPr>
      <w:tblStyleRowBandSize w:val="1"/>
      <w:tblStyleColBandSize w:val="1"/>
      <w:tblBorders>
        <w:right w:val="single" w:color="000000" w:themeColor="accent6" w:themeTint="98" w:sz="4" w:space="0"/>
      </w:tblBorders>
    </w:tblPr>
    <w:tblStylePr w:type="band1Horz">
      <w:rPr>
        <w:color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themeColor="accent6" w:themeTint="98" w:themeShade="95"/>
        <w:sz w:val="22"/>
      </w:rPr>
      <w:tbl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6" w:themeTint="98" w:themeShade="95"/>
        <w:sz w:val="22"/>
      </w:rPr>
      <w:tblPr/>
    </w:tblStylePr>
  </w:style>
  <w:style w:type="table" w:styleId="814">
    <w:name w:val="Lined - Accent"/>
    <w:basedOn w:val="852"/>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815">
    <w:name w:val="Lined - Accent 1"/>
    <w:basedOn w:val="852"/>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816">
    <w:name w:val="Lined - Accent 2"/>
    <w:basedOn w:val="852"/>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817">
    <w:name w:val="Lined - Accent 3"/>
    <w:basedOn w:val="852"/>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818">
    <w:name w:val="Lined - Accent 4"/>
    <w:basedOn w:val="852"/>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819">
    <w:name w:val="Lined - Accent 5"/>
    <w:basedOn w:val="852"/>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820">
    <w:name w:val="Lined - Accent 6"/>
    <w:basedOn w:val="852"/>
    <w:uiPriority w:val="99"/>
    <w:pPr>
      <w:spacing w:after="0" w:line="240" w:lineRule="auto"/>
    </w:pPr>
    <w:r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821">
    <w:name w:val="Bordered &amp; Lined - Accent"/>
    <w:basedOn w:val="852"/>
    <w:uiPriority w:val="99"/>
    <w:pPr>
      <w:spacing w:after="0" w:line="240" w:lineRule="auto"/>
    </w:pPr>
    <w:r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822">
    <w:name w:val="Bordered &amp; Lined - Accent 1"/>
    <w:basedOn w:val="852"/>
    <w:uiPriority w:val="99"/>
    <w:pPr>
      <w:spacing w:after="0" w:line="240" w:lineRule="auto"/>
    </w:pPr>
    <w:r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823">
    <w:name w:val="Bordered &amp; Lined - Accent 2"/>
    <w:basedOn w:val="852"/>
    <w:uiPriority w:val="99"/>
    <w:pPr>
      <w:spacing w:after="0" w:line="240" w:lineRule="auto"/>
    </w:pPr>
    <w:r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824">
    <w:name w:val="Bordered &amp; Lined - Accent 3"/>
    <w:basedOn w:val="852"/>
    <w:uiPriority w:val="99"/>
    <w:pPr>
      <w:spacing w:after="0" w:line="240" w:lineRule="auto"/>
    </w:pPr>
    <w:r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825">
    <w:name w:val="Bordered &amp; Lined - Accent 4"/>
    <w:basedOn w:val="852"/>
    <w:uiPriority w:val="99"/>
    <w:pPr>
      <w:spacing w:after="0" w:line="240" w:lineRule="auto"/>
    </w:pPr>
    <w:r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826">
    <w:name w:val="Bordered &amp; Lined - Accent 5"/>
    <w:basedOn w:val="852"/>
    <w:uiPriority w:val="99"/>
    <w:pPr>
      <w:spacing w:after="0" w:line="240" w:lineRule="auto"/>
    </w:pPr>
    <w:r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827">
    <w:name w:val="Bordered &amp; Lined - Accent 6"/>
    <w:basedOn w:val="852"/>
    <w:uiPriority w:val="99"/>
    <w:pPr>
      <w:spacing w:after="0" w:line="240" w:lineRule="auto"/>
    </w:pPr>
    <w:r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828">
    <w:name w:val="Bordered"/>
    <w:basedOn w:val="852"/>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styleId="829">
    <w:name w:val="Bordered - Accent 1"/>
    <w:basedOn w:val="852"/>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style>
  <w:style w:type="table" w:styleId="830">
    <w:name w:val="Bordered - Accent 2"/>
    <w:basedOn w:val="852"/>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style>
  <w:style w:type="table" w:styleId="831">
    <w:name w:val="Bordered - Accent 3"/>
    <w:basedOn w:val="852"/>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style>
  <w:style w:type="table" w:styleId="832">
    <w:name w:val="Bordered - Accent 4"/>
    <w:basedOn w:val="852"/>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style>
  <w:style w:type="table" w:styleId="833">
    <w:name w:val="Bordered - Accent 5"/>
    <w:basedOn w:val="852"/>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style>
  <w:style w:type="table" w:styleId="834">
    <w:name w:val="Bordered - Accent 6"/>
    <w:basedOn w:val="852"/>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style>
  <w:style w:type="table" w:default="1" w:styleId="852">
    <w:name w:val="Normal Table"/>
    <w:uiPriority w:val="99"/>
    <w:semiHidden/>
    <w:unhideWhenUsed/>
    <w:tblPr>
      <w:tblCellMar>
        <w:left w:w="108" w:type="dxa"/>
        <w:top w:w="0" w:type="dxa"/>
        <w:right w:w="108" w:type="dxa"/>
        <w:bottom w:w="0" w:type="dxa"/>
      </w:tblCellMar>
    </w:tblPr>
  </w:style>
  <w:style w:type="table" w:styleId="863">
    <w:name w:val="Table Grid"/>
    <w:basedOn w:val="852"/>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rts-tender.ru/" TargetMode="External"/><Relationship Id="rId3" Type="http://schemas.openxmlformats.org/officeDocument/2006/relationships/hyperlink" Target="http://www.torgi.gov.ru/" TargetMode="External"/><Relationship Id="rId4" Type="http://schemas.openxmlformats.org/officeDocument/2006/relationships/hyperlink" Target="mailto:tu17@rosim.gov.ru" TargetMode="External"/><Relationship Id="rId5" Type="http://schemas.openxmlformats.org/officeDocument/2006/relationships/hyperlink" Target="https://www.rts-tender.ru/" TargetMode="External"/><Relationship Id="rId6" Type="http://schemas.openxmlformats.org/officeDocument/2006/relationships/hyperlink" Target="https://www.rts-tender.ru/" TargetMode="External"/><Relationship Id="rId7" Type="http://schemas.openxmlformats.org/officeDocument/2006/relationships/hyperlink" Target="https://www.rts-tender.ru/" TargetMode="External"/><Relationship Id="rId8" Type="http://schemas.openxmlformats.org/officeDocument/2006/relationships/hyperlink" Target="https://www.rts-tender.ru/" TargetMode="External"/><Relationship Id="rId9" Type="http://schemas.openxmlformats.org/officeDocument/2006/relationships/hyperlink" Target="http://government.ru/docs/33268/" TargetMode="Externa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071B9-3DC2-47F6-B531-186C767D3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Application>LibreOffice/24.8.7.2$Linux_X86_64 LibreOffice_project/480$Build-2</Application>
  <AppVersion>15.0000</AppVersion>
  <Pages>3</Pages>
  <Words>1658</Words>
  <Characters>11481</Characters>
  <CharactersWithSpaces>13131</CharactersWithSpaces>
  <Paragraphs>124</Paragraphs>
  <Company>ФАУГИ</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2022-12-15T03:11:00Z</dcterms:created>
  <dc:creator>Гайнутдинова Ольга Сергеевна (ТУ в Ростовской област</dc:creator>
  <dc:description/>
  <dc:language>ru-RU</dc:language>
  <cp:lastModifiedBy/>
  <dcterms:modified xsi:type="dcterms:W3CDTF">2026-10-23T16:55:16Z</dcterms:modified>
  <cp:revision>1284</cp:revision>
  <dc:subject/>
  <dc:title/>
</cp:coreProperties>
</file>

<file path=docProps/custom.xml><?xml version="1.0" encoding="utf-8"?>
<Properties xmlns="http://schemas.openxmlformats.org/officeDocument/2006/custom-properties" xmlns:vt="http://schemas.openxmlformats.org/officeDocument/2006/docPropsVTypes"/>
</file>