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left" w:pos="567" w:leader="none"/>
        </w:tabs>
        <w:jc w:val="center"/>
        <w:rPr>
          <w:b/>
        </w:rPr>
      </w:pPr>
      <w:r>
        <w:rPr>
          <w:b/>
        </w:rPr>
        <w:t>Аукционная документация открытого аукциона в электронной форме</w:t>
      </w:r>
      <w:r>
        <w:rPr/>
        <w:t xml:space="preserve"> </w:t>
      </w:r>
      <w:r>
        <w:rPr>
          <w:b/>
        </w:rPr>
        <w:t>по продаже арестованного движимого имущества</w:t>
      </w:r>
    </w:p>
    <w:p>
      <w:pPr>
        <w:pStyle w:val="Normal"/>
        <w:widowControl w:val="false"/>
        <w:tabs>
          <w:tab w:val="clear" w:pos="708"/>
          <w:tab w:val="left" w:pos="567" w:leader="none"/>
        </w:tabs>
        <w:jc w:val="center"/>
        <w:rPr>
          <w:rFonts w:ascii="Times New Roman CYR" w:hAnsi="Times New Roman CYR"/>
          <w:b/>
        </w:rPr>
      </w:pPr>
      <w:r>
        <w:rPr>
          <w:rFonts w:ascii="Times New Roman CYR" w:hAnsi="Times New Roman CYR"/>
          <w:b/>
        </w:rPr>
      </w:r>
    </w:p>
    <w:p>
      <w:pPr>
        <w:pStyle w:val="Normal"/>
        <w:widowControl w:val="false"/>
        <w:tabs>
          <w:tab w:val="clear" w:pos="708"/>
          <w:tab w:val="left" w:pos="567" w:leader="none"/>
        </w:tabs>
        <w:jc w:val="center"/>
        <w:rPr/>
      </w:pPr>
      <w:r>
        <w:rPr/>
        <w:t xml:space="preserve">дата и время аукциона: </w:t>
      </w:r>
      <w:r>
        <w:rPr>
          <w:b/>
        </w:rPr>
        <w:t>«</w:t>
      </w:r>
      <w:r>
        <w:rPr>
          <w:b/>
        </w:rPr>
        <w:t>27</w:t>
      </w:r>
      <w:r>
        <w:rPr>
          <w:b/>
        </w:rPr>
        <w:t xml:space="preserve">» </w:t>
      </w:r>
      <w:r>
        <w:rPr>
          <w:b/>
        </w:rPr>
        <w:t>ноября</w:t>
      </w:r>
      <w:r>
        <w:rPr>
          <w:b/>
        </w:rPr>
        <w:t xml:space="preserve"> </w:t>
      </w:r>
      <w:r>
        <w:rPr>
          <w:b/>
        </w:rPr>
        <w:t>2026</w:t>
      </w:r>
      <w:r>
        <w:rPr>
          <w:b/>
        </w:rPr>
        <w:t xml:space="preserve"> в 11:00</w:t>
      </w:r>
      <w:r>
        <w:rPr/>
        <w:t xml:space="preserve"> по московскому времени.</w:t>
      </w:r>
    </w:p>
    <w:p>
      <w:pPr>
        <w:pStyle w:val="Normal"/>
        <w:widowControl w:val="false"/>
        <w:tabs>
          <w:tab w:val="clear" w:pos="708"/>
          <w:tab w:val="left" w:pos="567" w:leader="none"/>
        </w:tabs>
        <w:rPr>
          <w:rFonts w:ascii="Times New Roman CYR" w:hAnsi="Times New Roman CYR"/>
          <w:b/>
        </w:rPr>
      </w:pPr>
      <w:r>
        <w:rPr>
          <w:rFonts w:ascii="Times New Roman CYR" w:hAnsi="Times New Roman CYR"/>
          <w:b/>
        </w:rPr>
      </w:r>
    </w:p>
    <w:p>
      <w:pPr>
        <w:pStyle w:val="Normal"/>
        <w:widowControl w:val="false"/>
        <w:tabs>
          <w:tab w:val="clear" w:pos="708"/>
          <w:tab w:val="left" w:pos="567" w:leader="none"/>
        </w:tabs>
        <w:jc w:val="center"/>
        <w:rPr>
          <w:b/>
          <w:color w:val="FF0000"/>
          <w:sz w:val="22"/>
        </w:rPr>
      </w:pPr>
      <w:r>
        <w:rPr>
          <w:b/>
          <w:color w:val="FF0000"/>
          <w:sz w:val="22"/>
        </w:rPr>
        <w:t>ВНИМАНИЕ! Об осмотрах</w:t>
      </w:r>
      <w:r>
        <w:rPr>
          <w:color w:val="FF0000"/>
          <w:sz w:val="22"/>
        </w:rPr>
        <w:t>. В соответствии с Федеральным законом «Об исполнительном производстве» № 229-ФЗ и Соглашением «О взаимодействии Федеральной службы судебных приставов и Федерального агентства по управлению государственным имуществом по вопросам организации продажи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от 30.04.2015 № 0001/13/01-12/65 судебный пристав-исполнитель при передаче на реализацию движимого имущества на торги передает организатору торгов по акту приема-передачи документы, характеризующие объект, но не сам объект. Таким образом, организатор торгов не имеет физической возможности и правовых оснований провести осмотр имущества, подлежащего реализации и сфотографировать его. Доступ к арестованному имуществу имеют только лица, участвующие в исполнительном производстве. Потенциальные покупатели арестованного имущества и иные участники торгов не относятся к категории лиц, участвующих в исполнительном производстве, соответственно права и обязанности сторон исполнительного производства, на них не распространяются.</w:t>
      </w:r>
    </w:p>
    <w:p>
      <w:pPr>
        <w:pStyle w:val="Normal"/>
        <w:widowControl w:val="false"/>
        <w:tabs>
          <w:tab w:val="clear" w:pos="708"/>
          <w:tab w:val="left" w:pos="567" w:leader="none"/>
        </w:tabs>
        <w:rPr>
          <w:rFonts w:ascii="Times New Roman CYR" w:hAnsi="Times New Roman CYR"/>
          <w:b/>
        </w:rPr>
      </w:pPr>
      <w:r>
        <w:rPr>
          <w:rFonts w:ascii="Times New Roman CYR" w:hAnsi="Times New Roman CYR"/>
          <w:b/>
        </w:rPr>
      </w:r>
    </w:p>
    <w:p>
      <w:pPr>
        <w:pStyle w:val="Normal"/>
        <w:widowControl w:val="false"/>
        <w:numPr>
          <w:ilvl w:val="0"/>
          <w:numId w:val="1"/>
        </w:numPr>
        <w:tabs>
          <w:tab w:val="clear" w:pos="708"/>
          <w:tab w:val="left" w:pos="567" w:leader="none"/>
          <w:tab w:val="left" w:pos="851" w:leader="none"/>
        </w:tabs>
        <w:ind w:firstLine="567" w:left="0"/>
        <w:rPr>
          <w:b/>
        </w:rPr>
      </w:pPr>
      <w:r>
        <w:rPr>
          <w:b/>
        </w:rPr>
        <w:t>Понятия и термины</w:t>
      </w:r>
    </w:p>
    <w:p>
      <w:pPr>
        <w:pStyle w:val="Normal"/>
        <w:widowControl w:val="false"/>
        <w:tabs>
          <w:tab w:val="clear" w:pos="708"/>
          <w:tab w:val="left" w:pos="567" w:leader="none"/>
          <w:tab w:val="left" w:pos="851" w:leader="none"/>
        </w:tabs>
        <w:jc w:val="both"/>
        <w:rPr/>
      </w:pPr>
      <w:r>
        <w:rPr>
          <w:b/>
        </w:rPr>
        <w:tab/>
        <w:t xml:space="preserve">Продавец - </w:t>
      </w:r>
      <w:r>
        <w:rPr/>
        <w:t>Территориальное управление Федерального агентства по управлению государственным имуществом в Вологодской области ОГРН 1103525003900/ ИНН 3525237735. Адрес: Вологодская область, г. Вологда, ул. Пушкинская, д. 25. Тел. (8172) 76-69-29 (далее - продавец);</w:t>
      </w:r>
    </w:p>
    <w:p>
      <w:pPr>
        <w:pStyle w:val="Normal"/>
        <w:widowControl w:val="false"/>
        <w:tabs>
          <w:tab w:val="clear" w:pos="708"/>
          <w:tab w:val="left" w:pos="567" w:leader="none"/>
          <w:tab w:val="left" w:pos="851" w:leader="none"/>
        </w:tabs>
        <w:jc w:val="both"/>
        <w:rPr/>
      </w:pPr>
      <w:r>
        <w:rPr>
          <w:b/>
        </w:rPr>
        <w:tab/>
        <w:t>Предмет торгов</w:t>
      </w:r>
      <w:r>
        <w:rPr/>
        <w:t xml:space="preserve"> - выставленное на торги незаложенное недвижимое имущество, арестованное во исполнение судебных решений или актов органов, которым предоставлено право принимать решения об обращении взыскания на имущество (далее – имущество);</w:t>
      </w:r>
    </w:p>
    <w:p>
      <w:pPr>
        <w:pStyle w:val="Normal"/>
        <w:widowControl w:val="false"/>
        <w:tabs>
          <w:tab w:val="clear" w:pos="708"/>
          <w:tab w:val="left" w:pos="567" w:leader="none"/>
          <w:tab w:val="left" w:pos="851" w:leader="none"/>
        </w:tabs>
        <w:jc w:val="both"/>
        <w:rPr/>
      </w:pPr>
      <w:r>
        <w:rPr>
          <w:b/>
        </w:rPr>
        <w:tab/>
        <w:t>Открытый аукцион в электронной форме</w:t>
      </w:r>
      <w:r>
        <w:rPr/>
        <w:t xml:space="preserve"> – аукцион по продаже арестованного имущества, открытый по составу участников и открытый по форме подачи предложения о цене, проводимый в электронной форме на электронной площадке, находящейся в сети интернет по адресу https://www.rts-tender.ru (далее – аукцион);</w:t>
      </w:r>
    </w:p>
    <w:p>
      <w:pPr>
        <w:pStyle w:val="Normal"/>
        <w:widowControl w:val="false"/>
        <w:tabs>
          <w:tab w:val="clear" w:pos="708"/>
          <w:tab w:val="left" w:pos="567" w:leader="none"/>
          <w:tab w:val="left" w:pos="851" w:leader="none"/>
        </w:tabs>
        <w:jc w:val="both"/>
        <w:rPr/>
      </w:pPr>
      <w:r>
        <w:rPr>
          <w:b/>
        </w:rPr>
        <w:tab/>
        <w:t>Минимальная начальная цена продажи имущества</w:t>
      </w:r>
      <w:r>
        <w:rPr/>
        <w:t xml:space="preserve"> – стоимость имущества, установленная в постановлении судебного пристава-исполнителя, передавшего имущество на реализацию;</w:t>
      </w:r>
    </w:p>
    <w:p>
      <w:pPr>
        <w:pStyle w:val="Normal"/>
        <w:widowControl w:val="false"/>
        <w:tabs>
          <w:tab w:val="clear" w:pos="708"/>
          <w:tab w:val="left" w:pos="567" w:leader="none"/>
          <w:tab w:val="left" w:pos="851" w:leader="none"/>
        </w:tabs>
        <w:jc w:val="both"/>
        <w:rPr/>
      </w:pPr>
      <w:r>
        <w:rPr>
          <w:b/>
        </w:rPr>
        <w:tab/>
        <w:t xml:space="preserve">Заявка на участие в аукционе - </w:t>
      </w:r>
      <w:r>
        <w:rPr/>
        <w:t>полный комплект документов, предоставляемый заявителем продавцу для участия в аукционе (далее – заявка);</w:t>
      </w:r>
    </w:p>
    <w:p>
      <w:pPr>
        <w:pStyle w:val="Normal"/>
        <w:widowControl w:val="false"/>
        <w:tabs>
          <w:tab w:val="clear" w:pos="708"/>
          <w:tab w:val="left" w:pos="567" w:leader="none"/>
          <w:tab w:val="left" w:pos="851" w:leader="none"/>
        </w:tabs>
        <w:jc w:val="both"/>
        <w:rPr/>
      </w:pPr>
      <w:r>
        <w:rPr>
          <w:b/>
        </w:rPr>
        <w:tab/>
        <w:t>Заявитель</w:t>
      </w:r>
      <w:r>
        <w:rPr/>
        <w:t xml:space="preserve"> - лицо, подающее продавцу заявку;</w:t>
      </w:r>
    </w:p>
    <w:p>
      <w:pPr>
        <w:pStyle w:val="Normal"/>
        <w:widowControl w:val="false"/>
        <w:tabs>
          <w:tab w:val="clear" w:pos="708"/>
          <w:tab w:val="left" w:pos="567" w:leader="none"/>
          <w:tab w:val="left" w:pos="851" w:leader="none"/>
        </w:tabs>
        <w:jc w:val="both"/>
        <w:rPr/>
      </w:pPr>
      <w:r>
        <w:rPr>
          <w:b/>
        </w:rPr>
        <w:tab/>
        <w:t>Претендент</w:t>
      </w:r>
      <w:r>
        <w:rPr/>
        <w:t xml:space="preserve"> - лицо, чья заявка принята продавцом;</w:t>
      </w:r>
    </w:p>
    <w:p>
      <w:pPr>
        <w:pStyle w:val="Normal"/>
        <w:widowControl w:val="false"/>
        <w:tabs>
          <w:tab w:val="clear" w:pos="708"/>
          <w:tab w:val="left" w:pos="567" w:leader="none"/>
          <w:tab w:val="left" w:pos="851" w:leader="none"/>
        </w:tabs>
        <w:jc w:val="both"/>
        <w:rPr/>
      </w:pPr>
      <w:r>
        <w:rPr>
          <w:b/>
        </w:rPr>
        <w:tab/>
        <w:t>Участник торгов</w:t>
      </w:r>
      <w:r>
        <w:rPr/>
        <w:t xml:space="preserve"> - претендент,  допущенный комиссией по проведению торгов по реализации имущества к участию в торгах.</w:t>
      </w:r>
    </w:p>
    <w:p>
      <w:pPr>
        <w:pStyle w:val="Normal"/>
        <w:widowControl w:val="false"/>
        <w:tabs>
          <w:tab w:val="clear" w:pos="708"/>
          <w:tab w:val="left" w:pos="567" w:leader="none"/>
          <w:tab w:val="left" w:pos="851" w:leader="none"/>
        </w:tabs>
        <w:ind w:firstLine="567"/>
        <w:rPr>
          <w:highlight w:val="lightGray"/>
        </w:rPr>
      </w:pPr>
      <w:r>
        <w:rPr>
          <w:highlight w:val="lightGray"/>
        </w:rPr>
      </w:r>
    </w:p>
    <w:p>
      <w:pPr>
        <w:pStyle w:val="Normal"/>
        <w:widowControl w:val="false"/>
        <w:numPr>
          <w:ilvl w:val="0"/>
          <w:numId w:val="1"/>
        </w:numPr>
        <w:tabs>
          <w:tab w:val="clear" w:pos="708"/>
          <w:tab w:val="left" w:pos="567" w:leader="none"/>
          <w:tab w:val="left" w:pos="851" w:leader="none"/>
        </w:tabs>
        <w:ind w:firstLine="567" w:left="0"/>
        <w:jc w:val="both"/>
        <w:rPr>
          <w:b/>
        </w:rPr>
      </w:pPr>
      <w:r>
        <w:rPr>
          <w:b/>
        </w:rPr>
        <w:t>Правовое регулирование</w:t>
      </w:r>
    </w:p>
    <w:p>
      <w:pPr>
        <w:pStyle w:val="Normal"/>
        <w:widowControl w:val="false"/>
        <w:tabs>
          <w:tab w:val="clear" w:pos="708"/>
          <w:tab w:val="left" w:pos="567" w:leader="none"/>
        </w:tabs>
        <w:ind w:firstLine="567"/>
        <w:jc w:val="both"/>
        <w:rPr/>
      </w:pPr>
      <w:r>
        <w:rPr/>
        <w:t xml:space="preserve">Настоящий аукцион проводится в соответствии с положениями Гражданского кодекса Российской Федерации, Федерального закона от 26.07.2006г. № 135-ФЗ «О защите конкуренции», Федерального закона от 02.10.2007г. №229-ФЗ «Об исполнительном производстве», Федерального закона от 16.07.1998г. № 102-ФЗ «Об ипотеке (залоге недвижимости)»,  и иных нормативных правовых актов Российской Федерации, а также регламентом электронной торговой площадки, размещенным на сайте </w:t>
      </w:r>
      <w:hyperlink r:id="rId2">
        <w:r>
          <w:rPr>
            <w:rStyle w:val="Style"/>
          </w:rPr>
          <w:t>https://www.rts-tender.ru</w:t>
        </w:r>
      </w:hyperlink>
      <w:r>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567" w:leader="none"/>
          <w:tab w:val="left" w:pos="851" w:leader="none"/>
        </w:tabs>
        <w:ind w:firstLine="567"/>
        <w:jc w:val="both"/>
        <w:rPr>
          <w:rFonts w:ascii="Times New Roman CYR" w:hAnsi="Times New Roman CYR"/>
          <w:highlight w:val="lightGray"/>
        </w:rPr>
      </w:pPr>
      <w:r>
        <w:rPr>
          <w:rFonts w:ascii="Times New Roman CYR" w:hAnsi="Times New Roman CYR"/>
          <w:highlight w:val="lightGray"/>
        </w:rPr>
      </w:r>
    </w:p>
    <w:p>
      <w:pPr>
        <w:pStyle w:val="Normal"/>
        <w:widowControl w:val="false"/>
        <w:numPr>
          <w:ilvl w:val="0"/>
          <w:numId w:val="1"/>
        </w:numPr>
        <w:tabs>
          <w:tab w:val="clear" w:pos="708"/>
          <w:tab w:val="left" w:pos="0" w:leader="none"/>
          <w:tab w:val="left" w:pos="851" w:leader="none"/>
        </w:tabs>
        <w:ind w:firstLine="567" w:left="0"/>
        <w:jc w:val="both"/>
        <w:rPr>
          <w:b/>
        </w:rPr>
      </w:pPr>
      <w:r>
        <w:rPr>
          <w:b/>
        </w:rPr>
        <w:t>Информационное обеспечение</w:t>
      </w:r>
    </w:p>
    <w:p>
      <w:pPr>
        <w:pStyle w:val="Normal"/>
        <w:widowControl w:val="false"/>
        <w:tabs>
          <w:tab w:val="clear" w:pos="708"/>
          <w:tab w:val="left" w:pos="0" w:leader="none"/>
        </w:tabs>
        <w:ind w:firstLine="567"/>
        <w:jc w:val="both"/>
        <w:rPr/>
      </w:pPr>
      <w:r>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3">
        <w:r>
          <w:rPr>
            <w:rStyle w:val="Style"/>
            <w:color w:val="0000FF"/>
            <w:u w:val="single"/>
          </w:rPr>
          <w:t>http://www.torgi.gov.ru</w:t>
        </w:r>
      </w:hyperlink>
      <w:r>
        <w:rPr/>
        <w:t xml:space="preserve"> (далее – официальный сайт). </w:t>
      </w:r>
    </w:p>
    <w:p>
      <w:pPr>
        <w:pStyle w:val="Normal"/>
        <w:widowControl w:val="false"/>
        <w:tabs>
          <w:tab w:val="clear" w:pos="708"/>
          <w:tab w:val="left" w:pos="0" w:leader="none"/>
        </w:tabs>
        <w:ind w:firstLine="567"/>
        <w:jc w:val="both"/>
        <w:rPr>
          <w:spacing w:val="-6"/>
        </w:rPr>
      </w:pPr>
      <w:r>
        <w:rPr/>
        <w:t>Торги проводятся в форме аукциона (открытого по составу участников и открытого по форме подачи предложения о цене) в электронной форме на электронной площадке, находящейся в сети интернет по адресу https://www.rts-tender.ru.</w:t>
      </w:r>
    </w:p>
    <w:p>
      <w:pPr>
        <w:pStyle w:val="Normal"/>
        <w:widowControl w:val="false"/>
        <w:tabs>
          <w:tab w:val="clear" w:pos="708"/>
          <w:tab w:val="left" w:pos="0" w:leader="none"/>
        </w:tabs>
        <w:ind w:firstLine="567"/>
        <w:jc w:val="both"/>
        <w:rPr/>
      </w:pPr>
      <w:r>
        <w:rPr/>
        <w:t xml:space="preserve">На </w:t>
      </w:r>
      <w:r>
        <w:rPr>
          <w:spacing w:val="-6"/>
        </w:rPr>
        <w:t xml:space="preserve">сайте </w:t>
      </w:r>
      <w:hyperlink r:id="rId4">
        <w:r>
          <w:rPr>
            <w:rStyle w:val="Style"/>
          </w:rPr>
          <w:t>https://www.rts-tender.ru</w:t>
        </w:r>
      </w:hyperlink>
      <w:r>
        <w:rPr>
          <w:spacing w:val="-6"/>
        </w:rPr>
        <w:t xml:space="preserve"> будут публиковаться все протоколы, составленные в ходе проведения настоящего аукциона, а так же дополнения и изменения к настоящей аукционной документации, имеющие отношение к проведению торгов</w:t>
      </w:r>
      <w:r>
        <w:rPr>
          <w:color w:val="FF0000"/>
          <w:spacing w:val="-6"/>
        </w:rPr>
        <w:t>.</w:t>
      </w:r>
      <w:r>
        <w:rPr>
          <w:spacing w:val="-6"/>
        </w:rPr>
        <w:t xml:space="preserve"> </w:t>
      </w:r>
    </w:p>
    <w:p>
      <w:pPr>
        <w:pStyle w:val="Normal"/>
        <w:widowControl w:val="false"/>
        <w:tabs>
          <w:tab w:val="clear" w:pos="708"/>
          <w:tab w:val="left" w:pos="567" w:leader="none"/>
          <w:tab w:val="left" w:pos="851" w:leader="none"/>
        </w:tabs>
        <w:ind w:left="567"/>
        <w:jc w:val="both"/>
        <w:rPr>
          <w:rFonts w:ascii="Times New Roman CYR" w:hAnsi="Times New Roman CYR"/>
          <w:b/>
        </w:rPr>
      </w:pPr>
      <w:r>
        <w:rPr>
          <w:rFonts w:ascii="Times New Roman CYR" w:hAnsi="Times New Roman CYR"/>
          <w:b/>
        </w:rPr>
      </w:r>
    </w:p>
    <w:p>
      <w:pPr>
        <w:pStyle w:val="Normal"/>
        <w:widowControl w:val="false"/>
        <w:numPr>
          <w:ilvl w:val="0"/>
          <w:numId w:val="1"/>
        </w:numPr>
        <w:tabs>
          <w:tab w:val="clear" w:pos="708"/>
          <w:tab w:val="left" w:pos="567" w:leader="none"/>
          <w:tab w:val="left" w:pos="851" w:leader="none"/>
        </w:tabs>
        <w:ind w:firstLine="567" w:left="0"/>
        <w:jc w:val="both"/>
        <w:rPr>
          <w:b/>
        </w:rPr>
      </w:pPr>
      <w:r>
        <w:rPr>
          <w:b/>
        </w:rPr>
        <w:t>Требования к форме заявления на участие в аукционе</w:t>
      </w:r>
    </w:p>
    <w:p>
      <w:pPr>
        <w:pStyle w:val="Normal"/>
        <w:widowControl w:val="false"/>
        <w:tabs>
          <w:tab w:val="clear" w:pos="708"/>
          <w:tab w:val="left" w:pos="567" w:leader="none"/>
        </w:tabs>
        <w:ind w:firstLine="567"/>
        <w:jc w:val="both"/>
        <w:rPr/>
      </w:pPr>
      <w:r>
        <w:rPr/>
        <w:t>Заявитель подает в составе заявки заявление на участие в торгах по форме, установленной в Приложении № 1.</w:t>
      </w:r>
    </w:p>
    <w:p>
      <w:pPr>
        <w:pStyle w:val="Normal"/>
        <w:widowControl w:val="false"/>
        <w:tabs>
          <w:tab w:val="clear" w:pos="708"/>
          <w:tab w:val="left" w:pos="567" w:leader="none"/>
          <w:tab w:val="left" w:pos="993" w:leader="none"/>
        </w:tabs>
        <w:ind w:firstLine="567"/>
        <w:jc w:val="both"/>
        <w:rPr>
          <w:highlight w:val="lightGray"/>
        </w:rPr>
      </w:pPr>
      <w:r>
        <w:rPr>
          <w:highlight w:val="lightGray"/>
        </w:rPr>
      </w:r>
    </w:p>
    <w:p>
      <w:pPr>
        <w:pStyle w:val="Normal"/>
        <w:widowControl w:val="false"/>
        <w:numPr>
          <w:ilvl w:val="0"/>
          <w:numId w:val="1"/>
        </w:numPr>
        <w:tabs>
          <w:tab w:val="clear" w:pos="708"/>
          <w:tab w:val="left" w:pos="851" w:leader="none"/>
        </w:tabs>
        <w:ind w:firstLine="567" w:left="0"/>
        <w:jc w:val="both"/>
        <w:rPr>
          <w:b/>
        </w:rPr>
      </w:pPr>
      <w:r>
        <w:rPr>
          <w:b/>
        </w:rPr>
        <w:t>Требования к составу заявки на участие в аукционе</w:t>
      </w:r>
    </w:p>
    <w:p>
      <w:pPr>
        <w:pStyle w:val="Normal"/>
        <w:widowControl w:val="false"/>
        <w:tabs>
          <w:tab w:val="clear" w:pos="708"/>
          <w:tab w:val="left" w:pos="1134" w:leader="none"/>
        </w:tabs>
        <w:ind w:firstLine="567"/>
        <w:jc w:val="both"/>
        <w:rPr>
          <w:b/>
          <w:i/>
          <w:i/>
          <w:color w:val="FF0000"/>
        </w:rPr>
      </w:pPr>
      <w:r>
        <w:rPr>
          <w:b/>
          <w:i/>
        </w:rPr>
        <w:t xml:space="preserve">5.1.Заявление на участие в аукционе должно содержать следующие сведения: </w:t>
      </w:r>
    </w:p>
    <w:p>
      <w:pPr>
        <w:pStyle w:val="ListParagraph1"/>
        <w:widowControl w:val="false"/>
        <w:numPr>
          <w:ilvl w:val="0"/>
          <w:numId w:val="2"/>
        </w:numPr>
        <w:tabs>
          <w:tab w:val="clear" w:pos="708"/>
          <w:tab w:val="left" w:pos="1134" w:leader="none"/>
        </w:tabs>
        <w:spacing w:before="0" w:after="0"/>
        <w:ind w:firstLine="360" w:left="0"/>
        <w:contextualSpacing/>
        <w:jc w:val="both"/>
        <w:rPr>
          <w:rFonts w:ascii="Times New Roman" w:hAnsi="Times New Roman"/>
          <w:sz w:val="24"/>
        </w:rPr>
      </w:pPr>
      <w:r>
        <w:rPr>
          <w:rFonts w:ascii="Times New Roman" w:hAnsi="Times New Roman"/>
          <w:sz w:val="24"/>
        </w:rPr>
        <w:t>для юридических лиц: фирменное наименование, сведения об организационно-правовой форме, о месте нахождения, почтовый адрес, банковские реквизиты; платежное поручение, подтверждающее оплату.</w:t>
      </w:r>
    </w:p>
    <w:p>
      <w:pPr>
        <w:pStyle w:val="ListParagraph1"/>
        <w:widowControl w:val="false"/>
        <w:numPr>
          <w:ilvl w:val="0"/>
          <w:numId w:val="2"/>
        </w:numPr>
        <w:tabs>
          <w:tab w:val="clear" w:pos="708"/>
          <w:tab w:val="left" w:pos="1134" w:leader="none"/>
        </w:tabs>
        <w:spacing w:before="0" w:after="0"/>
        <w:ind w:firstLine="360" w:left="0"/>
        <w:contextualSpacing/>
        <w:jc w:val="both"/>
        <w:rPr>
          <w:rFonts w:ascii="Times New Roman" w:hAnsi="Times New Roman"/>
          <w:sz w:val="24"/>
        </w:rPr>
      </w:pPr>
      <w:r>
        <w:rPr>
          <w:rFonts w:ascii="Times New Roman" w:hAnsi="Times New Roman"/>
          <w:sz w:val="24"/>
        </w:rPr>
        <w:t>для индивидуальных предпринимателей: фамилия, имя, отчество (если имеется), паспортные данные, адрес места жительства, банковские реквизиты; платежное поручение, подтверждающее оплату.</w:t>
      </w:r>
    </w:p>
    <w:p>
      <w:pPr>
        <w:pStyle w:val="ListParagraph1"/>
        <w:widowControl w:val="false"/>
        <w:numPr>
          <w:ilvl w:val="0"/>
          <w:numId w:val="2"/>
        </w:numPr>
        <w:tabs>
          <w:tab w:val="clear" w:pos="708"/>
          <w:tab w:val="left" w:pos="1134" w:leader="none"/>
        </w:tabs>
        <w:ind w:firstLine="360" w:left="0"/>
        <w:jc w:val="both"/>
        <w:rPr>
          <w:rFonts w:ascii="Times New Roman" w:hAnsi="Times New Roman"/>
          <w:sz w:val="24"/>
        </w:rPr>
      </w:pPr>
      <w:r>
        <w:rPr>
          <w:rFonts w:ascii="Times New Roman" w:hAnsi="Times New Roman"/>
          <w:sz w:val="24"/>
        </w:rPr>
        <w:t>для физических лиц: фамилия, имя, отчество (если имеется), паспортные данные, адрес места жительства, банковские реквизиты,</w:t>
      </w:r>
      <w:r>
        <w:rPr>
          <w:rFonts w:ascii="Times New Roman" w:hAnsi="Times New Roman"/>
        </w:rPr>
        <w:t xml:space="preserve"> </w:t>
      </w:r>
      <w:r>
        <w:rPr>
          <w:rFonts w:ascii="Times New Roman" w:hAnsi="Times New Roman"/>
          <w:sz w:val="24"/>
        </w:rPr>
        <w:t>платежное поручение, подтверждающее оплату.</w:t>
      </w:r>
    </w:p>
    <w:p>
      <w:pPr>
        <w:pStyle w:val="Normal"/>
        <w:widowControl w:val="false"/>
        <w:tabs>
          <w:tab w:val="clear" w:pos="708"/>
          <w:tab w:val="left" w:pos="1134" w:leader="none"/>
        </w:tabs>
        <w:ind w:left="360"/>
        <w:jc w:val="both"/>
        <w:rPr>
          <w:rFonts w:ascii="Times New Roman CYR" w:hAnsi="Times New Roman CYR"/>
        </w:rPr>
      </w:pPr>
      <w:r>
        <w:rPr>
          <w:rFonts w:ascii="Times New Roman CYR" w:hAnsi="Times New Roman CYR"/>
        </w:rPr>
      </w:r>
    </w:p>
    <w:p>
      <w:pPr>
        <w:pStyle w:val="Normal"/>
        <w:widowControl w:val="false"/>
        <w:tabs>
          <w:tab w:val="clear" w:pos="708"/>
          <w:tab w:val="left" w:pos="1134" w:leader="none"/>
        </w:tabs>
        <w:ind w:firstLine="567"/>
        <w:jc w:val="both"/>
        <w:rPr>
          <w:b/>
        </w:rPr>
      </w:pPr>
      <w:r>
        <w:rPr>
          <w:b/>
        </w:rPr>
        <w:t>5.</w:t>
      </w:r>
      <w:r>
        <w:rPr>
          <w:b/>
          <w:i/>
        </w:rPr>
        <w:t>2. В состав заявки входят следующие документы:</w:t>
      </w:r>
    </w:p>
    <w:p>
      <w:pPr>
        <w:pStyle w:val="ListParagraph1"/>
        <w:widowControl w:val="false"/>
        <w:numPr>
          <w:ilvl w:val="0"/>
          <w:numId w:val="3"/>
        </w:numPr>
        <w:spacing w:lineRule="auto" w:line="240" w:before="0" w:after="0"/>
        <w:ind w:firstLine="360" w:left="0"/>
        <w:contextualSpacing/>
        <w:jc w:val="both"/>
        <w:rPr>
          <w:rFonts w:ascii="Times New Roman" w:hAnsi="Times New Roman"/>
          <w:b/>
          <w:sz w:val="24"/>
        </w:rPr>
      </w:pPr>
      <w:r>
        <w:rPr>
          <w:rFonts w:ascii="Times New Roman" w:hAnsi="Times New Roman"/>
          <w:sz w:val="24"/>
        </w:rPr>
        <w:t xml:space="preserve">для юридических лиц: заявление на участие в торгах; копия свидетельства ИНН; копия свидетельства ОГРН ЮЛ; копии учредительных документов заявителя; копии документов, подтверждающих полномочия руководителя юридического лица или уполномоченного на подачу заявки и на участие в аукционе лица;(копия паспорта уполномоченного лица (все листы)) документ, подтверждающий статус юридического лица (для нерезидентов РФ); данные о лицевом счете в банке; </w:t>
      </w:r>
    </w:p>
    <w:p>
      <w:pPr>
        <w:pStyle w:val="ListParagraph1"/>
        <w:widowControl w:val="false"/>
        <w:numPr>
          <w:ilvl w:val="0"/>
          <w:numId w:val="3"/>
        </w:numPr>
        <w:spacing w:lineRule="auto" w:line="240" w:before="0" w:after="0"/>
        <w:ind w:firstLine="360" w:left="0"/>
        <w:contextualSpacing/>
        <w:jc w:val="both"/>
        <w:rPr>
          <w:rFonts w:ascii="Times New Roman" w:hAnsi="Times New Roman"/>
          <w:b/>
          <w:sz w:val="24"/>
        </w:rPr>
      </w:pPr>
      <w:r>
        <w:rPr>
          <w:rFonts w:ascii="Times New Roman" w:hAnsi="Times New Roman"/>
          <w:sz w:val="24"/>
        </w:rPr>
        <w:t>для индивидуальных предпринимателей: заявление на участие в торгах; копия свидетельства ИНН; копия свидетельства ОГРН ИП; копия паспорта заявителя (все листы); копии документов, подтверждающих полномочия лица, уполномоченного на подачу заявки и на участие в аукционе вместе с копия паспорта заявителя (все листы) (копия паспорта уполномоченного лица (все листы); банковские реквизиты;</w:t>
      </w:r>
      <w:r>
        <w:rPr>
          <w:rFonts w:ascii="Times New Roman" w:hAnsi="Times New Roman"/>
          <w:b/>
          <w:sz w:val="24"/>
        </w:rPr>
        <w:t xml:space="preserve"> </w:t>
      </w:r>
    </w:p>
    <w:p>
      <w:pPr>
        <w:pStyle w:val="ListParagraph1"/>
        <w:widowControl w:val="false"/>
        <w:numPr>
          <w:ilvl w:val="0"/>
          <w:numId w:val="3"/>
        </w:numPr>
        <w:tabs>
          <w:tab w:val="clear" w:pos="708"/>
          <w:tab w:val="left" w:pos="1134" w:leader="none"/>
        </w:tabs>
        <w:spacing w:lineRule="auto" w:line="240" w:before="0" w:after="0"/>
        <w:ind w:firstLine="360" w:left="0"/>
        <w:contextualSpacing/>
        <w:jc w:val="both"/>
        <w:rPr>
          <w:rFonts w:ascii="Times New Roman" w:hAnsi="Times New Roman"/>
          <w:sz w:val="24"/>
        </w:rPr>
      </w:pPr>
      <w:r>
        <w:rPr>
          <w:rFonts w:ascii="Times New Roman" w:hAnsi="Times New Roman"/>
          <w:sz w:val="24"/>
        </w:rPr>
        <w:t xml:space="preserve">для физических лиц: заявление на участие в торгах; копия паспорта заявителя (все листы); нотариально заверенная копия доверенности, подтверждающая полномочия представителя физического лица на подачу заявки и на участие в аукционе (копия паспорта уполномоченного лица (все листы); банковские реквизиты; </w:t>
      </w:r>
    </w:p>
    <w:p>
      <w:pPr>
        <w:pStyle w:val="ListParagraph1"/>
        <w:widowControl w:val="false"/>
        <w:numPr>
          <w:ilvl w:val="0"/>
          <w:numId w:val="3"/>
        </w:numPr>
        <w:tabs>
          <w:tab w:val="clear" w:pos="708"/>
          <w:tab w:val="left" w:pos="1134" w:leader="none"/>
        </w:tabs>
        <w:spacing w:lineRule="auto" w:line="240" w:before="0" w:after="0"/>
        <w:ind w:firstLine="360" w:left="0"/>
        <w:contextualSpacing/>
        <w:jc w:val="both"/>
        <w:rPr>
          <w:rFonts w:ascii="Times New Roman" w:hAnsi="Times New Roman"/>
        </w:rPr>
      </w:pPr>
      <w:r>
        <w:rPr>
          <w:rFonts w:ascii="Times New Roman" w:hAnsi="Times New Roman"/>
          <w:sz w:val="24"/>
        </w:rPr>
        <w:t xml:space="preserve">для иностранных граждан и иностранных юридических лиц: заявление на участие в торгах;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 удостоверяющих личность физического лица; нотариально заверенная доверенность представителя физического лица; </w:t>
      </w:r>
    </w:p>
    <w:p>
      <w:pPr>
        <w:pStyle w:val="ListParagraph1"/>
        <w:widowControl w:val="false"/>
        <w:tabs>
          <w:tab w:val="clear" w:pos="708"/>
          <w:tab w:val="left" w:pos="1134" w:leader="none"/>
        </w:tabs>
        <w:spacing w:lineRule="auto" w:line="240" w:before="0" w:after="0"/>
        <w:ind w:left="1440"/>
        <w:contextualSpacing/>
        <w:jc w:val="both"/>
        <w:rPr>
          <w:rFonts w:ascii="Times New Roman" w:hAnsi="Times New Roman"/>
        </w:rPr>
      </w:pPr>
      <w:r>
        <w:rPr>
          <w:rFonts w:ascii="Times New Roman" w:hAnsi="Times New Roman"/>
        </w:rPr>
      </w:r>
    </w:p>
    <w:p>
      <w:pPr>
        <w:pStyle w:val="Normal"/>
        <w:ind w:firstLine="720"/>
        <w:jc w:val="both"/>
        <w:rPr/>
      </w:pPr>
      <w:r>
        <w:rPr/>
        <w:t>Указанные сведения направляются оператору электронной площадки в виде электронных документов, заверенных электронной подписью претендента либо лица, имеющего право действовать от имени претендента.</w:t>
      </w:r>
    </w:p>
    <w:p>
      <w:pPr>
        <w:pStyle w:val="Normal"/>
        <w:ind w:firstLine="720"/>
        <w:jc w:val="both"/>
        <w:rPr>
          <w:rFonts w:ascii="Times New Roman CYR" w:hAnsi="Times New Roman CYR"/>
        </w:rPr>
      </w:pPr>
      <w:r>
        <w:rPr>
          <w:rFonts w:ascii="Times New Roman CYR" w:hAnsi="Times New Roman CYR"/>
        </w:rPr>
      </w:r>
    </w:p>
    <w:p>
      <w:pPr>
        <w:pStyle w:val="Normal"/>
        <w:widowControl w:val="false"/>
        <w:numPr>
          <w:ilvl w:val="0"/>
          <w:numId w:val="1"/>
        </w:numPr>
        <w:tabs>
          <w:tab w:val="clear" w:pos="708"/>
          <w:tab w:val="left" w:pos="0" w:leader="none"/>
          <w:tab w:val="left" w:pos="851" w:leader="none"/>
        </w:tabs>
        <w:spacing w:lineRule="auto" w:line="276"/>
        <w:ind w:firstLine="567" w:left="0"/>
        <w:jc w:val="both"/>
        <w:rPr>
          <w:b/>
        </w:rPr>
      </w:pPr>
      <w:r>
        <w:rPr>
          <w:b/>
        </w:rPr>
        <w:t>Требования к участникам торгов</w:t>
      </w:r>
    </w:p>
    <w:p>
      <w:pPr>
        <w:pStyle w:val="Normal"/>
        <w:widowControl w:val="false"/>
        <w:tabs>
          <w:tab w:val="clear" w:pos="708"/>
          <w:tab w:val="left" w:pos="0" w:leader="none"/>
        </w:tabs>
        <w:spacing w:lineRule="auto" w:line="276"/>
        <w:ind w:firstLine="567"/>
        <w:jc w:val="both"/>
        <w:rPr/>
      </w:pPr>
      <w:r>
        <w:rPr/>
        <w:t>Участником торгов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иностранный гражданин, претендующее на заключение договора, соответствующие требованиям настоящей аукционной документации.</w:t>
      </w:r>
    </w:p>
    <w:p>
      <w:pPr>
        <w:pStyle w:val="Normal"/>
        <w:widowControl w:val="false"/>
        <w:tabs>
          <w:tab w:val="clear" w:pos="708"/>
          <w:tab w:val="left" w:pos="0" w:leader="none"/>
        </w:tabs>
        <w:ind w:firstLine="567"/>
        <w:jc w:val="both"/>
        <w:rPr/>
      </w:pPr>
      <w:r>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Normal"/>
        <w:widowControl w:val="false"/>
        <w:tabs>
          <w:tab w:val="clear" w:pos="708"/>
          <w:tab w:val="left" w:pos="567" w:leader="none"/>
        </w:tabs>
        <w:ind w:firstLine="567"/>
        <w:jc w:val="both"/>
        <w:rPr/>
      </w:pPr>
      <w:r>
        <w:rPr/>
      </w:r>
    </w:p>
    <w:p>
      <w:pPr>
        <w:pStyle w:val="Normal"/>
        <w:widowControl w:val="false"/>
        <w:numPr>
          <w:ilvl w:val="0"/>
          <w:numId w:val="1"/>
        </w:numPr>
        <w:tabs>
          <w:tab w:val="clear" w:pos="708"/>
          <w:tab w:val="left" w:pos="0" w:leader="none"/>
          <w:tab w:val="left" w:pos="851" w:leader="none"/>
        </w:tabs>
        <w:ind w:firstLine="567" w:left="0"/>
        <w:jc w:val="both"/>
        <w:rPr>
          <w:b/>
        </w:rPr>
      </w:pPr>
      <w:r>
        <w:rPr>
          <w:b/>
        </w:rPr>
        <w:t>Условия допуска к участию в аукционе</w:t>
      </w:r>
    </w:p>
    <w:p>
      <w:pPr>
        <w:pStyle w:val="Normal"/>
        <w:widowControl w:val="false"/>
        <w:tabs>
          <w:tab w:val="clear" w:pos="708"/>
          <w:tab w:val="left" w:pos="0" w:leader="none"/>
        </w:tabs>
        <w:ind w:firstLine="567"/>
        <w:jc w:val="both"/>
        <w:rPr>
          <w:b/>
          <w:i/>
          <w:i/>
        </w:rPr>
      </w:pPr>
      <w:r>
        <w:rPr>
          <w:b/>
          <w:i/>
        </w:rPr>
        <w:t>7.1.</w:t>
      </w:r>
      <w:r>
        <w:rPr>
          <w:i/>
        </w:rPr>
        <w:t xml:space="preserve"> </w:t>
      </w:r>
      <w:r>
        <w:rPr>
          <w:b/>
          <w:i/>
        </w:rPr>
        <w:t>Заявитель не допускается комиссией к участию в аукционе в случаях:</w:t>
      </w:r>
    </w:p>
    <w:p>
      <w:pPr>
        <w:pStyle w:val="Normal"/>
        <w:widowControl w:val="false"/>
        <w:tabs>
          <w:tab w:val="clear" w:pos="708"/>
          <w:tab w:val="left" w:pos="0" w:leader="none"/>
        </w:tabs>
        <w:ind w:firstLine="567"/>
        <w:jc w:val="both"/>
        <w:rPr/>
      </w:pPr>
      <w:r>
        <w:rPr/>
        <w:t>1) непредставления или неполное представление документов, определенных пунктом 5  настоящей аукционной документации, либо наличия в таких документах недостоверных сведений;</w:t>
      </w:r>
    </w:p>
    <w:p>
      <w:pPr>
        <w:pStyle w:val="Normal"/>
        <w:widowControl w:val="false"/>
        <w:tabs>
          <w:tab w:val="clear" w:pos="708"/>
          <w:tab w:val="left" w:pos="0" w:leader="none"/>
        </w:tabs>
        <w:ind w:firstLine="567"/>
        <w:jc w:val="both"/>
        <w:rPr/>
      </w:pPr>
      <w:r>
        <w:rPr/>
        <w:t>2) заявка подана лицом, не уполномоченным претендентом на осуществление таких действий;</w:t>
      </w:r>
    </w:p>
    <w:p>
      <w:pPr>
        <w:pStyle w:val="Normal"/>
        <w:widowControl w:val="false"/>
        <w:tabs>
          <w:tab w:val="clear" w:pos="708"/>
          <w:tab w:val="left" w:pos="0" w:leader="none"/>
        </w:tabs>
        <w:ind w:firstLine="567"/>
        <w:jc w:val="both"/>
        <w:rPr/>
      </w:pPr>
      <w:r>
        <w:rPr/>
        <w:t>3) несоответствия заявки на участие в аукционе требованиям аукционной документации;</w:t>
      </w:r>
    </w:p>
    <w:p>
      <w:pPr>
        <w:pStyle w:val="Normal"/>
        <w:widowControl w:val="false"/>
        <w:tabs>
          <w:tab w:val="clear" w:pos="708"/>
          <w:tab w:val="left" w:pos="0" w:leader="none"/>
        </w:tabs>
        <w:ind w:firstLine="567"/>
        <w:jc w:val="both"/>
        <w:rPr/>
      </w:pPr>
      <w:r>
        <w:rPr/>
        <w:t>4) не поступления задатка в размере, указанном в извещении о проведении аукциона, на расчетный счет, указанный в информационном сообщении, в сроки, установленные в извещении о проведении аукциона;</w:t>
      </w:r>
    </w:p>
    <w:p>
      <w:pPr>
        <w:pStyle w:val="Normal"/>
        <w:widowControl w:val="false"/>
        <w:tabs>
          <w:tab w:val="clear" w:pos="708"/>
          <w:tab w:val="left" w:pos="0" w:leader="none"/>
        </w:tabs>
        <w:ind w:firstLine="567"/>
        <w:jc w:val="both"/>
        <w:rPr/>
      </w:pPr>
      <w:r>
        <w:rPr/>
        <w:t>5) предусмотренных п. 8.2.4 регламента Работы ЭП «РТС-Тендер».</w:t>
      </w:r>
    </w:p>
    <w:p>
      <w:pPr>
        <w:pStyle w:val="Normal"/>
        <w:widowControl w:val="false"/>
        <w:tabs>
          <w:tab w:val="clear" w:pos="708"/>
          <w:tab w:val="left" w:pos="567" w:leader="none"/>
        </w:tabs>
        <w:ind w:firstLine="567"/>
        <w:jc w:val="both"/>
        <w:rPr/>
      </w:pPr>
      <w:r>
        <w:rPr/>
        <w:t>В случае установления факта недостоверности сведений, содержащихся в документах, представленных заявителем или участником торгов в соответствии с пунктом 5 настоящей аукционной документации, комиссия обязана отстранить такого претендента или участника торгов от участия в аукционе на любом этапе его проведения.</w:t>
      </w:r>
    </w:p>
    <w:p>
      <w:pPr>
        <w:pStyle w:val="Normal"/>
        <w:widowControl w:val="false"/>
        <w:tabs>
          <w:tab w:val="clear" w:pos="708"/>
          <w:tab w:val="left" w:pos="567" w:leader="none"/>
        </w:tabs>
        <w:ind w:firstLine="567"/>
        <w:jc w:val="both"/>
        <w:rPr>
          <w:b/>
          <w:i/>
          <w:i/>
        </w:rPr>
      </w:pPr>
      <w:r>
        <w:rPr>
          <w:b/>
          <w:i/>
        </w:rPr>
        <w:t>7.2. Уведомление о недопуске Заявителей к участию в аукционе:</w:t>
      </w:r>
    </w:p>
    <w:p>
      <w:pPr>
        <w:pStyle w:val="Normal"/>
        <w:widowControl w:val="false"/>
        <w:tabs>
          <w:tab w:val="clear" w:pos="708"/>
          <w:tab w:val="left" w:pos="567" w:leader="none"/>
        </w:tabs>
        <w:ind w:firstLine="567"/>
        <w:jc w:val="both"/>
        <w:rPr/>
      </w:pPr>
      <w:r>
        <w:rPr/>
        <w:t xml:space="preserve">Уведомление о недопуске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 </w:t>
      </w:r>
    </w:p>
    <w:p>
      <w:pPr>
        <w:pStyle w:val="Normal"/>
        <w:widowControl w:val="false"/>
        <w:tabs>
          <w:tab w:val="clear" w:pos="708"/>
          <w:tab w:val="left" w:pos="567" w:leader="none"/>
        </w:tabs>
        <w:jc w:val="both"/>
        <w:rPr>
          <w:rFonts w:ascii="Times New Roman CYR" w:hAnsi="Times New Roman CYR"/>
        </w:rPr>
      </w:pPr>
      <w:r>
        <w:rPr>
          <w:rFonts w:ascii="Times New Roman CYR" w:hAnsi="Times New Roman CYR"/>
        </w:rPr>
      </w:r>
    </w:p>
    <w:p>
      <w:pPr>
        <w:pStyle w:val="Normal"/>
        <w:widowControl w:val="false"/>
        <w:numPr>
          <w:ilvl w:val="0"/>
          <w:numId w:val="1"/>
        </w:numPr>
        <w:tabs>
          <w:tab w:val="clear" w:pos="708"/>
          <w:tab w:val="left" w:pos="0" w:leader="none"/>
          <w:tab w:val="left" w:pos="851" w:leader="none"/>
        </w:tabs>
        <w:ind w:firstLine="567" w:left="0" w:right="57"/>
        <w:jc w:val="both"/>
        <w:rPr>
          <w:b/>
        </w:rPr>
      </w:pPr>
      <w:r>
        <w:rPr>
          <w:b/>
        </w:rPr>
        <w:t>Порядок получения разъяснений аукционной документации, ознакомления с условиями договора купли-продажи, а так же ознакомления с имуществом.</w:t>
      </w:r>
    </w:p>
    <w:p>
      <w:pPr>
        <w:pStyle w:val="Normal"/>
        <w:widowControl w:val="false"/>
        <w:tabs>
          <w:tab w:val="clear" w:pos="708"/>
          <w:tab w:val="left" w:pos="0" w:leader="none"/>
        </w:tabs>
        <w:ind w:firstLine="567" w:right="57"/>
        <w:jc w:val="both"/>
        <w:rPr>
          <w:color w:val="FF0000"/>
        </w:rPr>
      </w:pPr>
      <w:r>
        <w:rPr/>
        <w:t>Заявитель вправе обратиться за разъяснением положений настоящей аукционной документации к продавцу имущества. Ознакомление с дополнительной информацией о предмете аукциона и иным вопросам осуществляется по рабочим дням с 9.00 до 16.00 с момента публикации информационного сообщения до даты окончания подачи заявок по адресу: г. Вологда, ул. Пушкинская, д. 25, каб. 506.</w:t>
      </w:r>
    </w:p>
    <w:p>
      <w:pPr>
        <w:pStyle w:val="Normal"/>
        <w:widowControl w:val="false"/>
        <w:tabs>
          <w:tab w:val="clear" w:pos="708"/>
          <w:tab w:val="left" w:pos="0" w:leader="none"/>
        </w:tabs>
        <w:ind w:right="57"/>
        <w:rPr/>
      </w:pPr>
      <w:r>
        <w:rPr/>
      </w:r>
    </w:p>
    <w:p>
      <w:pPr>
        <w:pStyle w:val="Normal"/>
        <w:widowControl w:val="false"/>
        <w:numPr>
          <w:ilvl w:val="0"/>
          <w:numId w:val="1"/>
        </w:numPr>
        <w:tabs>
          <w:tab w:val="clear" w:pos="708"/>
          <w:tab w:val="left" w:pos="567" w:leader="none"/>
          <w:tab w:val="left" w:pos="851" w:leader="none"/>
        </w:tabs>
        <w:ind w:firstLine="567" w:left="0"/>
        <w:jc w:val="both"/>
        <w:rPr>
          <w:b/>
        </w:rPr>
      </w:pPr>
      <w:r>
        <w:rPr>
          <w:b/>
        </w:rPr>
        <w:t>Порядок оформления и подачи заявки:</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Заявка представляет собой полный комплект документов, представляемых заявителем для участия в аукционе.</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Заявка и все документы, связанные с этой заявкой, должны составляться на русском языке и однозначно обеспечивать восприятие их содержания.</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Заявитель направляет заявку с приложенными документами в установленный срок в форме скан-копий документов через электронную площадку.</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Заявка принимается электронной площадкой при условии наличия на счету заявителя достаточных денежных средств для обеспечения участия в аукционе, в сумме, установленной электронной площадкой в соответствии с нормативными документами электронной площадки.</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Продавец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В день рассмотрения заявок заявителю электронной площадкой направляется уведомление о допуске/не допуске к участию в аукционе.</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Заявитель вправе подать только одну заявку в отношении лота аукциона с полным пакетом документов по нему.</w:t>
      </w:r>
    </w:p>
    <w:p>
      <w:pPr>
        <w:pStyle w:val="ListParagraph1"/>
        <w:widowControl w:val="false"/>
        <w:numPr>
          <w:ilvl w:val="0"/>
          <w:numId w:val="4"/>
        </w:numPr>
        <w:tabs>
          <w:tab w:val="clear" w:pos="708"/>
          <w:tab w:val="left" w:pos="567" w:leader="none"/>
        </w:tabs>
        <w:spacing w:before="0" w:after="0"/>
        <w:ind w:hanging="0" w:left="0"/>
        <w:contextualSpacing/>
        <w:jc w:val="both"/>
        <w:rPr>
          <w:rFonts w:ascii="Times New Roman" w:hAnsi="Times New Roman"/>
          <w:sz w:val="24"/>
        </w:rPr>
      </w:pPr>
      <w:r>
        <w:rPr>
          <w:rFonts w:ascii="Times New Roman" w:hAnsi="Times New Roman"/>
          <w:sz w:val="24"/>
        </w:rPr>
        <w:t>Заявитель подает заявку на участие в аукционе в сроки, установленные в извещении.</w:t>
      </w:r>
    </w:p>
    <w:p>
      <w:pPr>
        <w:pStyle w:val="ListParagraph1"/>
        <w:widowControl w:val="false"/>
        <w:numPr>
          <w:ilvl w:val="0"/>
          <w:numId w:val="4"/>
        </w:numPr>
        <w:tabs>
          <w:tab w:val="clear" w:pos="708"/>
          <w:tab w:val="left" w:pos="567" w:leader="none"/>
        </w:tabs>
        <w:ind w:hanging="0" w:left="0"/>
        <w:jc w:val="both"/>
        <w:rPr>
          <w:rFonts w:ascii="Times New Roman" w:hAnsi="Times New Roman"/>
          <w:sz w:val="24"/>
        </w:rPr>
      </w:pPr>
      <w:r>
        <w:rPr>
          <w:rFonts w:ascii="Times New Roman" w:hAnsi="Times New Roman"/>
          <w:sz w:val="24"/>
        </w:rPr>
        <w:t>Заявитель несет все расходы, связанные с подготовкой и подачей своей заявки на участие в аукционе, а продавец не несет при этом обязательств по расходам, за исключением случаев, прямо предусмотренных действующим законодательством.</w:t>
      </w:r>
    </w:p>
    <w:p>
      <w:pPr>
        <w:pStyle w:val="Normal"/>
        <w:widowControl w:val="false"/>
        <w:tabs>
          <w:tab w:val="clear" w:pos="708"/>
          <w:tab w:val="left" w:pos="567" w:leader="none"/>
        </w:tabs>
        <w:jc w:val="both"/>
        <w:rPr/>
      </w:pPr>
      <w:r>
        <w:rPr/>
        <w:tab/>
        <w:t xml:space="preserve">Подача заявки осуществляется через электронную площадку в соответствии с регламентом электронной торговой площадки, размещенным на сайте </w:t>
      </w:r>
      <w:hyperlink r:id="rId5">
        <w:r>
          <w:rPr>
            <w:rStyle w:val="Style"/>
          </w:rPr>
          <w:t>https://www.rts-tender.ru</w:t>
        </w:r>
      </w:hyperlink>
      <w:r>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567" w:leader="none"/>
        </w:tabs>
        <w:jc w:val="both"/>
        <w:rPr/>
      </w:pPr>
      <w:r>
        <w:rPr/>
        <w:tab/>
        <w:t xml:space="preserve">Участие в торгах производится в соответствии с тарифами, установленными нормативными документами электронной площадки и размещенными на сайте </w:t>
      </w:r>
      <w:hyperlink r:id="rId6">
        <w:r>
          <w:rPr>
            <w:rStyle w:val="Style"/>
          </w:rPr>
          <w:t>https://www.rts-tender.ru</w:t>
        </w:r>
      </w:hyperlink>
      <w:r>
        <w:rPr/>
        <w:t>, в разделе «Тарифы».</w:t>
      </w:r>
    </w:p>
    <w:p>
      <w:pPr>
        <w:pStyle w:val="Normal"/>
        <w:widowControl w:val="false"/>
        <w:tabs>
          <w:tab w:val="clear" w:pos="708"/>
          <w:tab w:val="left" w:pos="0" w:leader="none"/>
          <w:tab w:val="left" w:pos="567" w:leader="none"/>
        </w:tabs>
        <w:ind w:firstLine="567" w:right="57"/>
        <w:rPr>
          <w:highlight w:val="lightGray"/>
        </w:rPr>
      </w:pPr>
      <w:r>
        <w:rPr>
          <w:highlight w:val="lightGray"/>
        </w:rPr>
      </w:r>
    </w:p>
    <w:p>
      <w:pPr>
        <w:pStyle w:val="ListParagraph1"/>
        <w:widowControl w:val="false"/>
        <w:numPr>
          <w:ilvl w:val="0"/>
          <w:numId w:val="1"/>
        </w:numPr>
        <w:tabs>
          <w:tab w:val="clear" w:pos="708"/>
          <w:tab w:val="left" w:pos="0" w:leader="none"/>
          <w:tab w:val="left" w:pos="851" w:leader="none"/>
        </w:tabs>
        <w:spacing w:lineRule="auto" w:line="240" w:before="0" w:after="0"/>
        <w:ind w:firstLine="567" w:left="0"/>
        <w:contextualSpacing/>
        <w:jc w:val="both"/>
        <w:rPr>
          <w:rFonts w:ascii="Times New Roman" w:hAnsi="Times New Roman"/>
          <w:b/>
          <w:sz w:val="24"/>
        </w:rPr>
      </w:pPr>
      <w:r>
        <w:rPr>
          <w:rFonts w:ascii="Times New Roman" w:hAnsi="Times New Roman"/>
          <w:b/>
          <w:sz w:val="24"/>
        </w:rPr>
        <w:t>Порядок и срок отзыва заявок</w:t>
      </w:r>
    </w:p>
    <w:p>
      <w:pPr>
        <w:pStyle w:val="Normal"/>
        <w:widowControl w:val="false"/>
        <w:tabs>
          <w:tab w:val="clear" w:pos="708"/>
          <w:tab w:val="left" w:pos="567" w:leader="none"/>
        </w:tabs>
        <w:ind w:firstLine="567"/>
        <w:jc w:val="both"/>
        <w:rPr/>
      </w:pPr>
      <w:r>
        <w:rPr/>
        <w:t xml:space="preserve">Заявитель вправе отозвать заявку в любое время до момента окончания подачи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w:t>
      </w:r>
      <w:hyperlink r:id="rId7">
        <w:r>
          <w:rPr>
            <w:rStyle w:val="Style"/>
          </w:rPr>
          <w:t>https://www.rts-tender.ru</w:t>
        </w:r>
      </w:hyperlink>
      <w:r>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0" w:leader="none"/>
          <w:tab w:val="left" w:pos="567" w:leader="none"/>
        </w:tabs>
        <w:ind w:firstLine="567" w:right="57"/>
        <w:rPr>
          <w:highlight w:val="lightGray"/>
        </w:rPr>
      </w:pPr>
      <w:r>
        <w:rPr>
          <w:highlight w:val="lightGray"/>
        </w:rPr>
      </w:r>
    </w:p>
    <w:p>
      <w:pPr>
        <w:pStyle w:val="ListParagraph1"/>
        <w:widowControl w:val="false"/>
        <w:numPr>
          <w:ilvl w:val="0"/>
          <w:numId w:val="1"/>
        </w:numPr>
        <w:tabs>
          <w:tab w:val="clear" w:pos="708"/>
          <w:tab w:val="left" w:pos="567" w:leader="none"/>
          <w:tab w:val="left" w:pos="851" w:leader="none"/>
        </w:tabs>
        <w:spacing w:lineRule="auto" w:line="240" w:before="0" w:after="0"/>
        <w:ind w:firstLine="567" w:left="0"/>
        <w:contextualSpacing/>
        <w:jc w:val="both"/>
        <w:rPr>
          <w:rFonts w:ascii="Times New Roman" w:hAnsi="Times New Roman"/>
          <w:b/>
          <w:sz w:val="24"/>
        </w:rPr>
      </w:pPr>
      <w:r>
        <w:rPr>
          <w:rFonts w:ascii="Times New Roman" w:hAnsi="Times New Roman"/>
          <w:b/>
          <w:sz w:val="24"/>
        </w:rPr>
        <w:t>Порядок приема и рассмотрения заявок на участие в аукционе</w:t>
      </w:r>
    </w:p>
    <w:p>
      <w:pPr>
        <w:pStyle w:val="Normal"/>
        <w:widowControl w:val="false"/>
        <w:tabs>
          <w:tab w:val="clear" w:pos="708"/>
          <w:tab w:val="left" w:pos="567" w:leader="none"/>
        </w:tabs>
        <w:ind w:firstLine="567"/>
        <w:jc w:val="both"/>
        <w:rPr>
          <w:color w:val="FF0000"/>
        </w:rPr>
      </w:pPr>
      <w:r>
        <w:rPr/>
        <w:t xml:space="preserve">Срок окончания подачи заявок </w:t>
      </w:r>
      <w:r>
        <w:rPr>
          <w:b/>
          <w:sz w:val="28"/>
        </w:rPr>
        <w:t>«</w:t>
      </w:r>
      <w:r>
        <w:rPr>
          <w:b/>
          <w:sz w:val="28"/>
        </w:rPr>
        <w:t>25</w:t>
      </w:r>
      <w:r>
        <w:rPr>
          <w:b/>
          <w:sz w:val="28"/>
        </w:rPr>
        <w:t xml:space="preserve">» </w:t>
      </w:r>
      <w:r>
        <w:rPr>
          <w:b/>
          <w:sz w:val="28"/>
        </w:rPr>
        <w:t>ноября</w:t>
      </w:r>
      <w:r>
        <w:rPr>
          <w:b/>
          <w:sz w:val="28"/>
        </w:rPr>
        <w:t xml:space="preserve"> </w:t>
      </w:r>
      <w:r>
        <w:rPr>
          <w:b/>
          <w:sz w:val="28"/>
        </w:rPr>
        <w:t>2026</w:t>
      </w:r>
      <w:r>
        <w:rPr>
          <w:b/>
          <w:sz w:val="28"/>
        </w:rPr>
        <w:t xml:space="preserve"> г. в 23:55</w:t>
      </w:r>
      <w:r>
        <w:rPr/>
        <w:t>.</w:t>
      </w:r>
    </w:p>
    <w:p>
      <w:pPr>
        <w:pStyle w:val="Normal"/>
        <w:widowControl w:val="false"/>
        <w:tabs>
          <w:tab w:val="clear" w:pos="708"/>
          <w:tab w:val="left" w:pos="567" w:leader="none"/>
        </w:tabs>
        <w:ind w:firstLine="567"/>
        <w:jc w:val="both"/>
        <w:rPr/>
      </w:pPr>
      <w:r>
        <w:rPr/>
        <w:t>Прием заявок осуществляется через оператора электронной площадки.</w:t>
      </w:r>
    </w:p>
    <w:p>
      <w:pPr>
        <w:pStyle w:val="Normal"/>
        <w:widowControl w:val="false"/>
        <w:tabs>
          <w:tab w:val="clear" w:pos="708"/>
          <w:tab w:val="left" w:pos="567" w:leader="none"/>
        </w:tabs>
        <w:ind w:firstLine="709" w:left="-142"/>
        <w:jc w:val="both"/>
        <w:rPr/>
      </w:pPr>
      <w:r>
        <w:rPr/>
        <w:t xml:space="preserve">Аукционная комиссия рассматривает заявки на предмет соответствия требованиям, установленным в извещении об аукционе, и соответствия заявителей требованиям, установленным настоящей документацией. </w:t>
      </w:r>
    </w:p>
    <w:p>
      <w:pPr>
        <w:pStyle w:val="Normal"/>
        <w:widowControl w:val="false"/>
        <w:tabs>
          <w:tab w:val="clear" w:pos="708"/>
          <w:tab w:val="left" w:pos="567" w:leader="none"/>
        </w:tabs>
        <w:ind w:firstLine="709" w:left="-142"/>
        <w:jc w:val="both"/>
        <w:rPr/>
      </w:pPr>
      <w:r>
        <w:rPr/>
        <w:t xml:space="preserve">Рассмотрение заявок состоится </w:t>
      </w:r>
      <w:r>
        <w:rPr>
          <w:b/>
          <w:sz w:val="28"/>
        </w:rPr>
        <w:t>«</w:t>
      </w:r>
      <w:r>
        <w:rPr>
          <w:b/>
          <w:sz w:val="28"/>
        </w:rPr>
        <w:t>26</w:t>
      </w:r>
      <w:r>
        <w:rPr>
          <w:b/>
          <w:sz w:val="28"/>
        </w:rPr>
        <w:t xml:space="preserve">» </w:t>
      </w:r>
      <w:r>
        <w:rPr>
          <w:b/>
          <w:sz w:val="28"/>
        </w:rPr>
        <w:t>ноября</w:t>
      </w:r>
      <w:r>
        <w:rPr>
          <w:b/>
          <w:sz w:val="28"/>
        </w:rPr>
        <w:t xml:space="preserve"> </w:t>
      </w:r>
      <w:r>
        <w:rPr>
          <w:b/>
          <w:sz w:val="28"/>
        </w:rPr>
        <w:t>2026</w:t>
      </w:r>
      <w:r>
        <w:rPr>
          <w:b/>
          <w:sz w:val="28"/>
        </w:rPr>
        <w:t xml:space="preserve"> г. в 11:00</w:t>
      </w:r>
      <w:r>
        <w:rPr>
          <w:sz w:val="28"/>
        </w:rPr>
        <w:t xml:space="preserve"> </w:t>
      </w:r>
      <w:r>
        <w:rPr/>
        <w:t xml:space="preserve">по месту нахождения продавца. </w:t>
      </w:r>
    </w:p>
    <w:p>
      <w:pPr>
        <w:pStyle w:val="Normal"/>
        <w:widowControl w:val="false"/>
        <w:tabs>
          <w:tab w:val="clear" w:pos="708"/>
          <w:tab w:val="left" w:pos="567" w:leader="none"/>
        </w:tabs>
        <w:ind w:firstLine="709" w:left="-142"/>
        <w:jc w:val="both"/>
        <w:rPr/>
      </w:pPr>
      <w:r>
        <w:rPr/>
        <w:t>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w:t>
      </w:r>
    </w:p>
    <w:p>
      <w:pPr>
        <w:pStyle w:val="Normal"/>
        <w:widowControl w:val="false"/>
        <w:tabs>
          <w:tab w:val="clear" w:pos="708"/>
          <w:tab w:val="left" w:pos="567" w:leader="none"/>
        </w:tabs>
        <w:ind w:firstLine="709" w:left="-142"/>
        <w:jc w:val="both"/>
        <w:rPr/>
      </w:pPr>
      <w:r>
        <w:rPr/>
      </w:r>
    </w:p>
    <w:p>
      <w:pPr>
        <w:pStyle w:val="ListParagraph1"/>
        <w:widowControl w:val="false"/>
        <w:numPr>
          <w:ilvl w:val="0"/>
          <w:numId w:val="1"/>
        </w:numPr>
        <w:tabs>
          <w:tab w:val="clear" w:pos="708"/>
          <w:tab w:val="left" w:pos="0" w:leader="none"/>
          <w:tab w:val="left" w:pos="284" w:leader="none"/>
          <w:tab w:val="left" w:pos="993" w:leader="none"/>
        </w:tabs>
        <w:spacing w:lineRule="auto" w:line="240" w:before="0" w:after="0"/>
        <w:ind w:firstLine="567" w:left="0"/>
        <w:contextualSpacing/>
        <w:jc w:val="both"/>
        <w:rPr>
          <w:rFonts w:ascii="Times New Roman" w:hAnsi="Times New Roman"/>
          <w:b/>
          <w:sz w:val="24"/>
        </w:rPr>
      </w:pPr>
      <w:r>
        <w:rPr>
          <w:rFonts w:ascii="Times New Roman" w:hAnsi="Times New Roman"/>
          <w:b/>
          <w:sz w:val="24"/>
        </w:rPr>
        <w:t>Порядок проведения аукциона</w:t>
      </w:r>
    </w:p>
    <w:p>
      <w:pPr>
        <w:pStyle w:val="Normal"/>
        <w:widowControl w:val="false"/>
        <w:tabs>
          <w:tab w:val="clear" w:pos="708"/>
          <w:tab w:val="left" w:pos="0" w:leader="none"/>
        </w:tabs>
        <w:ind w:firstLine="567"/>
        <w:jc w:val="both"/>
        <w:rPr>
          <w:spacing w:val="-6"/>
          <w:highlight w:val="lightGray"/>
        </w:rPr>
      </w:pPr>
      <w:r>
        <w:rPr/>
        <w:t xml:space="preserve">Аукцион проводится </w:t>
      </w:r>
      <w:r>
        <w:rPr>
          <w:b/>
          <w:bCs/>
        </w:rPr>
        <w:t>27</w:t>
      </w:r>
      <w:r>
        <w:rPr>
          <w:b/>
          <w:bCs/>
          <w:sz w:val="28"/>
        </w:rPr>
        <w:t xml:space="preserve"> </w:t>
      </w:r>
      <w:r>
        <w:rPr>
          <w:b/>
          <w:bCs/>
          <w:sz w:val="28"/>
        </w:rPr>
        <w:t>ноября</w:t>
      </w:r>
      <w:r>
        <w:rPr>
          <w:b/>
          <w:sz w:val="28"/>
        </w:rPr>
        <w:t xml:space="preserve"> </w:t>
      </w:r>
      <w:r>
        <w:rPr>
          <w:b/>
          <w:sz w:val="28"/>
        </w:rPr>
        <w:t>2026</w:t>
      </w:r>
      <w:r>
        <w:rPr>
          <w:b/>
          <w:sz w:val="28"/>
        </w:rPr>
        <w:t xml:space="preserve"> г. в 11 часов 00</w:t>
      </w:r>
      <w:r>
        <w:rPr>
          <w:sz w:val="28"/>
        </w:rPr>
        <w:t xml:space="preserve"> </w:t>
      </w:r>
      <w:r>
        <w:rPr/>
        <w:t xml:space="preserve">минут по московскому времени на электронной торговой площадке, находящейся в сети интернет по адресу </w:t>
      </w:r>
      <w:hyperlink r:id="rId8">
        <w:r>
          <w:rPr>
            <w:rStyle w:val="Style"/>
          </w:rPr>
          <w:t>https://www.rts-tender.ru</w:t>
        </w:r>
      </w:hyperlink>
      <w:r>
        <w:rPr/>
        <w:t>, в соответствии со ст. 87, 89, 90 ФЗ от 02 октября 2007г. № 229-ФЗ «Об исполнительном производстве», № 102-ФЗ о</w:t>
      </w:r>
      <w:bookmarkStart w:id="0" w:name="_GoBack"/>
      <w:bookmarkEnd w:id="0"/>
      <w:r>
        <w:rPr/>
        <w:t xml:space="preserve">т 16.07.1998г. «Об ипотеке (залоге недвижимости)», ст. 447-449 ГК РФ, регламентом электронной торговой площадки, размещенным на сайте </w:t>
      </w:r>
      <w:hyperlink r:id="rId9">
        <w:r>
          <w:rPr>
            <w:rStyle w:val="Style"/>
          </w:rPr>
          <w:t>https://www.rts-tender.ru</w:t>
        </w:r>
      </w:hyperlink>
      <w:r>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ListParagraph1"/>
        <w:widowControl w:val="false"/>
        <w:tabs>
          <w:tab w:val="clear" w:pos="708"/>
          <w:tab w:val="left" w:pos="0" w:leader="none"/>
          <w:tab w:val="left" w:pos="284" w:leader="none"/>
          <w:tab w:val="left" w:pos="993" w:leader="none"/>
        </w:tabs>
        <w:spacing w:lineRule="auto" w:line="240" w:before="0" w:after="0"/>
        <w:ind w:firstLine="567" w:left="0"/>
        <w:contextualSpacing/>
        <w:jc w:val="both"/>
        <w:rPr>
          <w:rFonts w:ascii="Times New Roman" w:hAnsi="Times New Roman"/>
          <w:sz w:val="24"/>
        </w:rPr>
      </w:pPr>
      <w:r>
        <w:rPr>
          <w:rFonts w:ascii="Times New Roman" w:hAnsi="Times New Roman"/>
          <w:sz w:val="24"/>
        </w:rPr>
        <w:t>В аукционе могут участвовать только заявители, признанные участниками торгов.</w:t>
      </w:r>
    </w:p>
    <w:p>
      <w:pPr>
        <w:pStyle w:val="Normal"/>
        <w:widowControl w:val="false"/>
        <w:tabs>
          <w:tab w:val="clear" w:pos="708"/>
          <w:tab w:val="left" w:pos="567" w:leader="none"/>
        </w:tabs>
        <w:ind w:firstLine="567"/>
        <w:jc w:val="both"/>
        <w:rPr/>
      </w:pPr>
      <w:r>
        <w:rPr/>
        <w:t>Продажа выставленного на аукцион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 же равной минимальной начальной цене продажи имущества.</w:t>
      </w:r>
    </w:p>
    <w:p>
      <w:pPr>
        <w:pStyle w:val="Normal"/>
        <w:ind w:firstLine="567"/>
        <w:jc w:val="both"/>
        <w:rPr/>
      </w:pPr>
      <w:r>
        <w:rPr/>
        <w:t xml:space="preserve">Победителем аукциона признается участник, предложивший по ходу аукциона наиболее высокую цену. </w:t>
      </w:r>
    </w:p>
    <w:p>
      <w:pPr>
        <w:pStyle w:val="Normal"/>
        <w:ind w:firstLine="567"/>
        <w:jc w:val="both"/>
        <w:rPr/>
      </w:pPr>
      <w:r>
        <w:rPr/>
        <w:t xml:space="preserve">Продавец и Победитель аукциона обязан подписать </w:t>
      </w:r>
      <w:r>
        <w:rPr>
          <w:spacing w:val="-6"/>
        </w:rPr>
        <w:t>протокол о результатах аукциона по продаже арестованного имущества</w:t>
      </w:r>
      <w:r>
        <w:rPr/>
        <w:t xml:space="preserve"> в день проведения аукциона с помощью информационно-технических средств электронной площадки. Данный протокол является основанием для заключения договора купли-продажи. </w:t>
      </w:r>
    </w:p>
    <w:p>
      <w:pPr>
        <w:pStyle w:val="Normal"/>
        <w:widowControl w:val="false"/>
        <w:tabs>
          <w:tab w:val="clear" w:pos="708"/>
          <w:tab w:val="left" w:pos="567" w:leader="none"/>
        </w:tabs>
        <w:ind w:firstLine="567"/>
        <w:jc w:val="both"/>
        <w:rPr/>
      </w:pPr>
      <w:r>
        <w:rPr/>
        <w:t>Лицо, выигравшее аукцион, должно внести в течение пяти дней после их окончания сумму, за которую данным лицом куплено арестованное имущество (покупную цену), за вычетом ранее внесенного задатка на счет продавца:</w:t>
      </w:r>
    </w:p>
    <w:p>
      <w:pPr>
        <w:pStyle w:val="Normal"/>
        <w:widowControl w:val="false"/>
        <w:tabs>
          <w:tab w:val="clear" w:pos="708"/>
          <w:tab w:val="left" w:pos="567" w:leader="none"/>
        </w:tabs>
        <w:ind w:firstLine="567"/>
        <w:jc w:val="both"/>
        <w:rPr/>
      </w:pPr>
      <w:r>
        <w:rPr/>
      </w:r>
    </w:p>
    <w:p>
      <w:pPr>
        <w:pStyle w:val="Normal"/>
        <w:tabs>
          <w:tab w:val="clear" w:pos="708"/>
          <w:tab w:val="left" w:pos="298" w:leader="none"/>
        </w:tabs>
        <w:spacing w:lineRule="auto" w:line="276"/>
        <w:jc w:val="both"/>
        <w:rPr>
          <w:b/>
        </w:rPr>
      </w:pPr>
      <w:r>
        <w:rPr>
          <w:b/>
        </w:rPr>
        <w:t xml:space="preserve">Реквизиты: </w:t>
      </w:r>
    </w:p>
    <w:p>
      <w:pPr>
        <w:pStyle w:val="Normal"/>
        <w:tabs>
          <w:tab w:val="clear" w:pos="708"/>
          <w:tab w:val="left" w:pos="298" w:leader="none"/>
        </w:tabs>
        <w:spacing w:lineRule="auto" w:line="276"/>
        <w:jc w:val="both"/>
        <w:rPr>
          <w:b/>
        </w:rPr>
      </w:pPr>
      <w:r>
        <w:rPr>
          <w:b/>
        </w:rPr>
        <w:t xml:space="preserve">Получатель  УФК по Вологодской области (ТУ Росимущества в Вологодской области л/с 05301А27050) </w:t>
      </w:r>
    </w:p>
    <w:p>
      <w:pPr>
        <w:pStyle w:val="Normal"/>
        <w:tabs>
          <w:tab w:val="clear" w:pos="708"/>
          <w:tab w:val="left" w:pos="298" w:leader="none"/>
        </w:tabs>
        <w:spacing w:lineRule="auto" w:line="276"/>
        <w:jc w:val="both"/>
        <w:rPr>
          <w:b/>
        </w:rPr>
      </w:pPr>
      <w:r>
        <w:rPr>
          <w:b/>
        </w:rPr>
        <w:t xml:space="preserve">ИНН получателя  3525237735 </w:t>
      </w:r>
    </w:p>
    <w:p>
      <w:pPr>
        <w:pStyle w:val="Normal"/>
        <w:tabs>
          <w:tab w:val="clear" w:pos="708"/>
          <w:tab w:val="left" w:pos="298" w:leader="none"/>
        </w:tabs>
        <w:spacing w:lineRule="auto" w:line="276"/>
        <w:jc w:val="both"/>
        <w:rPr>
          <w:b/>
        </w:rPr>
      </w:pPr>
      <w:r>
        <w:rPr>
          <w:b/>
        </w:rPr>
        <w:t xml:space="preserve">КПП получателя  352501001 </w:t>
      </w:r>
    </w:p>
    <w:p>
      <w:pPr>
        <w:pStyle w:val="Normal"/>
        <w:tabs>
          <w:tab w:val="clear" w:pos="708"/>
          <w:tab w:val="left" w:pos="298" w:leader="none"/>
        </w:tabs>
        <w:spacing w:lineRule="auto" w:line="276"/>
        <w:jc w:val="both"/>
        <w:rPr>
          <w:b/>
        </w:rPr>
      </w:pPr>
      <w:r>
        <w:rPr>
          <w:b/>
        </w:rPr>
        <w:t xml:space="preserve">БИК банка получателя средств  012202102 </w:t>
      </w:r>
    </w:p>
    <w:p>
      <w:pPr>
        <w:pStyle w:val="Normal"/>
        <w:tabs>
          <w:tab w:val="clear" w:pos="708"/>
          <w:tab w:val="left" w:pos="298" w:leader="none"/>
        </w:tabs>
        <w:spacing w:lineRule="auto" w:line="276"/>
        <w:jc w:val="both"/>
        <w:rPr>
          <w:b/>
        </w:rPr>
      </w:pPr>
      <w:r>
        <w:rPr>
          <w:b/>
        </w:rPr>
        <w:t xml:space="preserve">Наименование банка получателя средств  ОКЦ № 1 ВВГУ Банка России//УФК по Нижегородской области г. Нижний Новгород </w:t>
      </w:r>
    </w:p>
    <w:p>
      <w:pPr>
        <w:pStyle w:val="Normal"/>
        <w:tabs>
          <w:tab w:val="clear" w:pos="708"/>
          <w:tab w:val="left" w:pos="298" w:leader="none"/>
        </w:tabs>
        <w:spacing w:lineRule="auto" w:line="276"/>
        <w:jc w:val="both"/>
        <w:rPr>
          <w:b/>
        </w:rPr>
      </w:pPr>
      <w:r>
        <w:rPr>
          <w:b/>
        </w:rPr>
        <w:t xml:space="preserve">   </w:t>
      </w:r>
    </w:p>
    <w:p>
      <w:pPr>
        <w:pStyle w:val="Normal"/>
        <w:tabs>
          <w:tab w:val="clear" w:pos="708"/>
          <w:tab w:val="left" w:pos="298" w:leader="none"/>
        </w:tabs>
        <w:spacing w:lineRule="auto" w:line="276"/>
        <w:jc w:val="both"/>
        <w:rPr>
          <w:b/>
        </w:rPr>
      </w:pPr>
      <w:r>
        <w:rPr>
          <w:b/>
        </w:rPr>
        <w:t xml:space="preserve">Номер счета получателя  03212643000000013208 </w:t>
      </w:r>
    </w:p>
    <w:p>
      <w:pPr>
        <w:pStyle w:val="Normal"/>
        <w:tabs>
          <w:tab w:val="clear" w:pos="708"/>
          <w:tab w:val="left" w:pos="298" w:leader="none"/>
        </w:tabs>
        <w:spacing w:lineRule="auto" w:line="276"/>
        <w:jc w:val="both"/>
        <w:rPr>
          <w:b/>
        </w:rPr>
      </w:pPr>
      <w:r>
        <w:rPr>
          <w:b/>
        </w:rPr>
        <w:t xml:space="preserve">Единый казначейский счет  (номер счета банка получателя средств)  40102810745370000024 </w:t>
      </w:r>
    </w:p>
    <w:p>
      <w:pPr>
        <w:pStyle w:val="Normal"/>
        <w:tabs>
          <w:tab w:val="clear" w:pos="708"/>
          <w:tab w:val="left" w:pos="298" w:leader="none"/>
        </w:tabs>
        <w:spacing w:lineRule="auto" w:line="276"/>
        <w:jc w:val="both"/>
        <w:rPr>
          <w:b/>
        </w:rPr>
      </w:pPr>
      <w:r>
        <w:rPr>
          <w:b/>
        </w:rPr>
        <w:t xml:space="preserve">КБК  </w:t>
      </w:r>
    </w:p>
    <w:p>
      <w:pPr>
        <w:pStyle w:val="Normal"/>
        <w:tabs>
          <w:tab w:val="clear" w:pos="708"/>
          <w:tab w:val="left" w:pos="298" w:leader="none"/>
        </w:tabs>
        <w:spacing w:lineRule="auto" w:line="276"/>
        <w:jc w:val="both"/>
        <w:rPr>
          <w:b/>
        </w:rPr>
      </w:pPr>
      <w:r>
        <w:rPr>
          <w:b/>
        </w:rPr>
        <w:t>ОКТМО  19701000.</w:t>
      </w:r>
    </w:p>
    <w:p>
      <w:pPr>
        <w:pStyle w:val="BodyText21"/>
        <w:ind w:firstLine="567"/>
        <w:jc w:val="both"/>
        <w:rPr/>
      </w:pPr>
      <w:r>
        <w:rPr/>
      </w:r>
    </w:p>
    <w:p>
      <w:pPr>
        <w:pStyle w:val="BodyText21"/>
        <w:ind w:firstLine="567"/>
        <w:jc w:val="both"/>
        <w:rPr/>
      </w:pPr>
      <w:r>
        <w:rPr/>
        <w:t xml:space="preserve">При не внесении указанной суммы в указанный срок, и уклонении от подписания договора купли - продажи </w:t>
      </w:r>
      <w:r>
        <w:rPr>
          <w:spacing w:val="-6"/>
        </w:rPr>
        <w:t>арестованного имущества,</w:t>
      </w:r>
      <w:r>
        <w:rPr/>
        <w:t xml:space="preserve"> задаток не возвращается.</w:t>
      </w:r>
    </w:p>
    <w:p>
      <w:pPr>
        <w:pStyle w:val="Normal"/>
        <w:widowControl w:val="false"/>
        <w:tabs>
          <w:tab w:val="clear" w:pos="708"/>
          <w:tab w:val="left" w:pos="567" w:leader="none"/>
        </w:tabs>
        <w:ind w:firstLine="567"/>
        <w:jc w:val="both"/>
        <w:rPr>
          <w:highlight w:val="lightGray"/>
        </w:rPr>
      </w:pPr>
      <w:r>
        <w:rPr>
          <w:highlight w:val="lightGray"/>
        </w:rPr>
      </w:r>
    </w:p>
    <w:p>
      <w:pPr>
        <w:pStyle w:val="ListParagraph1"/>
        <w:widowControl w:val="false"/>
        <w:numPr>
          <w:ilvl w:val="0"/>
          <w:numId w:val="1"/>
        </w:numPr>
        <w:tabs>
          <w:tab w:val="clear" w:pos="708"/>
          <w:tab w:val="left" w:pos="567" w:leader="none"/>
          <w:tab w:val="left" w:pos="993" w:leader="none"/>
        </w:tabs>
        <w:spacing w:lineRule="auto" w:line="240" w:before="0" w:after="0"/>
        <w:ind w:firstLine="567" w:left="0"/>
        <w:contextualSpacing/>
        <w:jc w:val="both"/>
        <w:rPr>
          <w:rFonts w:ascii="Times New Roman" w:hAnsi="Times New Roman"/>
          <w:b/>
          <w:sz w:val="24"/>
        </w:rPr>
      </w:pPr>
      <w:r>
        <w:rPr>
          <w:rFonts w:ascii="Times New Roman" w:hAnsi="Times New Roman"/>
          <w:b/>
          <w:sz w:val="24"/>
        </w:rPr>
        <w:t>Порядок заключения договора купли-продажи</w:t>
      </w:r>
    </w:p>
    <w:p>
      <w:pPr>
        <w:pStyle w:val="Normal"/>
        <w:widowControl w:val="false"/>
        <w:tabs>
          <w:tab w:val="clear" w:pos="708"/>
          <w:tab w:val="left" w:pos="567" w:leader="none"/>
        </w:tabs>
        <w:ind w:firstLine="567"/>
        <w:jc w:val="both"/>
        <w:rPr/>
      </w:pPr>
      <w:r>
        <w:rPr/>
        <w:t xml:space="preserve">Продавец заключает договор купли-продажи имущества с лицом, выигравшим публичные торги, путем подписания договора при помощи ЭЦП в электронной форме и по адресу нахождения продавца: г. Вологда, ул. Пушкинская, д. 25, каб.506.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Заключение договора купли – продажи арестованного имущества (за исключением случаев, когда предметом договора купли - продажи выступает единый имущественный комплекс)  проводится с использованием сервиса ФГИАС ЕСУГИ «Личный кабинет арендатора/заявителя», «Подсистема обработки обращений».</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инициации заключения электронного договора купли – продажи арестованного имущества в Личном кабинете арендатора/заявителя (далее - ЛК) победитель торгов (представитель победителя торгов) формирует заявку  на заключение договора и акта приема передачи имущества в ТУ Росимущества – организатора торгов.</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Для оформления заявки необходимо в ЛК выбрать жизненную ситуацию «Подписать договор по результатов торгов».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После заполнения формы необходимо нажать кнопку «Подписать и направить». Заявка будет направлена на рассмотрение в подсистему обработки сообщений в соответствующее территориальное управление Росимущества.</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Статус заявления покупатель может наблюдать в ЛК в пункте меню «Сообщения. В этот раздел будут поступать документы на рассмотрение/подписание, обновляться статусы по мере рассмотрения заявки Продавцом.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 - продажи.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подписания договора купли-продажи потребуется наличие у покупателя электронной подписи или мобильного приложения «Госключ».</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Инструкция по заключение договора купли – продажи арестованного имущества в  сервисе ФГИАС ЕСУГИ «Личный кабинет арендатора/заявителя», «Подсистема обработки обращений» для покупателей является приложением к  информационному сообщению.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 случае возникновения технических проблем при заключении ДКП посредством сервиса ФГИАС ЕСУГИ пользователям необходимо обращаться в Единую службу поддержки Росимущества (ЕСП) на адрес электронной почты: esp@rosim.gov.ru.</w:t>
      </w:r>
    </w:p>
    <w:p>
      <w:pPr>
        <w:pStyle w:val="Normal"/>
        <w:widowControl w:val="false"/>
        <w:suppressAutoHyphens w:val="true"/>
        <w:bidi w:val="0"/>
        <w:spacing w:lineRule="exact" w:line="276" w:before="0" w:after="0"/>
        <w:ind w:hanging="0" w:left="0" w:right="0"/>
        <w:jc w:val="both"/>
        <w:rPr>
          <w:rFonts w:ascii="Times New Roman" w:hAnsi="Times New Roman" w:eastAsia="Times New Roman" w:cs="Times New Roman"/>
          <w:b/>
          <w:color w:val="000000"/>
          <w:spacing w:val="0"/>
          <w:sz w:val="24"/>
          <w:shd w:fill="auto" w:val="clear"/>
        </w:rPr>
      </w:pPr>
      <w:r>
        <w:rPr/>
      </w:r>
    </w:p>
    <w:p>
      <w:pPr>
        <w:pStyle w:val="Normal"/>
        <w:widowControl w:val="false"/>
        <w:tabs>
          <w:tab w:val="clear" w:pos="708"/>
          <w:tab w:val="left" w:pos="567" w:leader="none"/>
        </w:tabs>
        <w:ind w:firstLine="567"/>
        <w:jc w:val="both"/>
        <w:rPr/>
      </w:pPr>
      <w:r>
        <w:rPr/>
        <w:t>Имущество передается по месту его нахождения. Передача имущества покупателю осуществляется по подписываемому сторонами акту приема-передачи к Договору купли продажи арестованного движимого имущества.</w:t>
      </w:r>
    </w:p>
    <w:p>
      <w:pPr>
        <w:pStyle w:val="Normal"/>
        <w:widowControl w:val="false"/>
        <w:tabs>
          <w:tab w:val="clear" w:pos="708"/>
          <w:tab w:val="left" w:pos="567" w:leader="none"/>
        </w:tabs>
        <w:ind w:firstLine="567"/>
        <w:jc w:val="both"/>
        <w:rPr/>
      </w:pPr>
      <w:r>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 же в суды, вынесшие соответствующие судебные акты, органы государственной и муниципальной власти.</w:t>
      </w:r>
    </w:p>
    <w:p>
      <w:pPr>
        <w:pStyle w:val="Normal"/>
        <w:widowControl w:val="false"/>
        <w:tabs>
          <w:tab w:val="clear" w:pos="708"/>
          <w:tab w:val="left" w:pos="567" w:leader="none"/>
        </w:tabs>
        <w:ind w:firstLine="567"/>
        <w:jc w:val="both"/>
        <w:rPr/>
      </w:pPr>
      <w:r>
        <w:rPr/>
        <w:t>В соответствии с ч. 3 ст. 158 Жилищного кодекса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Normal"/>
        <w:widowControl w:val="false"/>
        <w:tabs>
          <w:tab w:val="clear" w:pos="708"/>
          <w:tab w:val="left" w:pos="567" w:leader="none"/>
          <w:tab w:val="left" w:pos="993" w:leader="none"/>
        </w:tabs>
        <w:jc w:val="both"/>
        <w:rPr>
          <w:highlight w:val="lightGray"/>
        </w:rPr>
      </w:pPr>
      <w:r>
        <w:rPr>
          <w:highlight w:val="lightGray"/>
        </w:rPr>
      </w:r>
    </w:p>
    <w:p>
      <w:pPr>
        <w:pStyle w:val="ListParagraph1"/>
        <w:widowControl w:val="false"/>
        <w:numPr>
          <w:ilvl w:val="0"/>
          <w:numId w:val="1"/>
        </w:numPr>
        <w:tabs>
          <w:tab w:val="clear" w:pos="708"/>
          <w:tab w:val="left" w:pos="567" w:leader="none"/>
          <w:tab w:val="left" w:pos="993" w:leader="none"/>
        </w:tabs>
        <w:spacing w:before="0" w:after="0"/>
        <w:contextualSpacing/>
        <w:jc w:val="both"/>
        <w:rPr>
          <w:rFonts w:ascii="Times New Roman" w:hAnsi="Times New Roman"/>
          <w:b/>
          <w:sz w:val="24"/>
        </w:rPr>
      </w:pPr>
      <w:r>
        <w:rPr>
          <w:rFonts w:ascii="Times New Roman" w:hAnsi="Times New Roman"/>
          <w:b/>
          <w:sz w:val="24"/>
        </w:rPr>
        <w:t>Признание торгов несостоявшимися, последствия признания торгов несостоявшимися:</w:t>
      </w:r>
    </w:p>
    <w:p>
      <w:pPr>
        <w:pStyle w:val="ListParagraph1"/>
        <w:widowControl w:val="false"/>
        <w:numPr>
          <w:ilvl w:val="1"/>
          <w:numId w:val="1"/>
        </w:numPr>
        <w:tabs>
          <w:tab w:val="clear" w:pos="708"/>
          <w:tab w:val="left" w:pos="567" w:leader="none"/>
          <w:tab w:val="left" w:pos="993" w:leader="none"/>
        </w:tabs>
        <w:jc w:val="both"/>
        <w:rPr>
          <w:rFonts w:ascii="Times New Roman" w:hAnsi="Times New Roman"/>
          <w:sz w:val="24"/>
        </w:rPr>
      </w:pPr>
      <w:r>
        <w:rPr>
          <w:rFonts w:ascii="Times New Roman" w:hAnsi="Times New Roman"/>
          <w:sz w:val="24"/>
        </w:rPr>
        <w:t>Продавец объявляет торги несостоявшимися, если:</w:t>
      </w:r>
    </w:p>
    <w:p>
      <w:pPr>
        <w:pStyle w:val="ListParagraph1"/>
        <w:widowControl w:val="false"/>
        <w:numPr>
          <w:ilvl w:val="0"/>
          <w:numId w:val="5"/>
        </w:numPr>
        <w:tabs>
          <w:tab w:val="clear" w:pos="708"/>
          <w:tab w:val="left" w:pos="567"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Заявки на участие в торгах подали менее двух лиц;</w:t>
      </w:r>
    </w:p>
    <w:p>
      <w:pPr>
        <w:pStyle w:val="ListParagraph1"/>
        <w:widowControl w:val="false"/>
        <w:numPr>
          <w:ilvl w:val="0"/>
          <w:numId w:val="5"/>
        </w:numPr>
        <w:tabs>
          <w:tab w:val="clear" w:pos="708"/>
          <w:tab w:val="left" w:pos="567"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Допущено комиссией к участию в торгах менее двух лиц;</w:t>
      </w:r>
    </w:p>
    <w:p>
      <w:pPr>
        <w:pStyle w:val="ListParagraph1"/>
        <w:widowControl w:val="false"/>
        <w:numPr>
          <w:ilvl w:val="0"/>
          <w:numId w:val="5"/>
        </w:numPr>
        <w:tabs>
          <w:tab w:val="clear" w:pos="708"/>
          <w:tab w:val="left" w:pos="567"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Из явившихся участников торгов никто не сделал надбавки к начальной цене имущества;</w:t>
      </w:r>
    </w:p>
    <w:p>
      <w:pPr>
        <w:pStyle w:val="ListParagraph1"/>
        <w:widowControl w:val="false"/>
        <w:numPr>
          <w:ilvl w:val="0"/>
          <w:numId w:val="5"/>
        </w:numPr>
        <w:tabs>
          <w:tab w:val="clear" w:pos="708"/>
          <w:tab w:val="left" w:pos="567" w:leader="none"/>
          <w:tab w:val="left" w:pos="993" w:leader="none"/>
        </w:tabs>
        <w:ind w:firstLine="567" w:left="0"/>
        <w:jc w:val="both"/>
        <w:rPr>
          <w:rFonts w:ascii="Times New Roman" w:hAnsi="Times New Roman"/>
          <w:sz w:val="24"/>
        </w:rPr>
      </w:pPr>
      <w:r>
        <w:rPr>
          <w:rFonts w:ascii="Times New Roman" w:hAnsi="Times New Roman"/>
          <w:sz w:val="24"/>
        </w:rPr>
        <w:t>Лицо, выигравшее торги, в течение пяти дней со дня проведения торгов не оплатило стоимость имущества в полном объеме.</w:t>
      </w:r>
    </w:p>
    <w:p>
      <w:pPr>
        <w:pStyle w:val="ListParagraph1"/>
        <w:widowControl w:val="false"/>
        <w:numPr>
          <w:ilvl w:val="1"/>
          <w:numId w:val="1"/>
        </w:numPr>
        <w:tabs>
          <w:tab w:val="clear" w:pos="708"/>
          <w:tab w:val="left" w:pos="567" w:leader="none"/>
          <w:tab w:val="left" w:pos="993" w:leader="none"/>
        </w:tabs>
        <w:spacing w:before="0" w:after="0"/>
        <w:contextualSpacing/>
        <w:jc w:val="both"/>
        <w:rPr>
          <w:rFonts w:ascii="Times New Roman" w:hAnsi="Times New Roman"/>
          <w:sz w:val="24"/>
        </w:rPr>
      </w:pPr>
      <w:r>
        <w:rPr>
          <w:rFonts w:ascii="Times New Roman" w:hAnsi="Times New Roman"/>
          <w:sz w:val="24"/>
        </w:rPr>
        <w:t xml:space="preserve">Продавец объявляет вторичные торги в соответствии с действующим законодательством. </w:t>
      </w:r>
    </w:p>
    <w:p>
      <w:pPr>
        <w:pStyle w:val="ListParagraph1"/>
        <w:widowControl w:val="false"/>
        <w:numPr>
          <w:ilvl w:val="0"/>
          <w:numId w:val="1"/>
        </w:numPr>
        <w:tabs>
          <w:tab w:val="clear" w:pos="708"/>
          <w:tab w:val="left" w:pos="567" w:leader="none"/>
          <w:tab w:val="left" w:pos="993" w:leader="none"/>
        </w:tabs>
        <w:spacing w:before="0" w:after="0"/>
        <w:contextualSpacing/>
        <w:jc w:val="both"/>
        <w:rPr>
          <w:rFonts w:ascii="Times New Roman" w:hAnsi="Times New Roman"/>
          <w:b/>
          <w:sz w:val="24"/>
        </w:rPr>
      </w:pPr>
      <w:r>
        <w:rPr>
          <w:rFonts w:ascii="Times New Roman" w:hAnsi="Times New Roman"/>
          <w:b/>
          <w:sz w:val="24"/>
        </w:rPr>
        <w:t>Порядок внесения задатка:</w:t>
      </w:r>
    </w:p>
    <w:p>
      <w:pPr>
        <w:pStyle w:val="Normal"/>
        <w:widowControl w:val="false"/>
        <w:tabs>
          <w:tab w:val="clear" w:pos="708"/>
          <w:tab w:val="left" w:pos="567" w:leader="none"/>
          <w:tab w:val="left" w:pos="993" w:leader="none"/>
        </w:tabs>
        <w:jc w:val="both"/>
        <w:rPr/>
      </w:pPr>
      <w:r>
        <w:rPr/>
        <w:tab/>
        <w:t xml:space="preserve">Заявители обязаны внести задаток в необходимом размере, указанном в извещении, опубликованном на сайте torgi.gov.ru, по следующим реквизитам: </w:t>
      </w:r>
    </w:p>
    <w:p>
      <w:pPr>
        <w:pStyle w:val="Normal"/>
        <w:tabs>
          <w:tab w:val="clear" w:pos="708"/>
          <w:tab w:val="left" w:pos="298" w:leader="none"/>
        </w:tabs>
        <w:spacing w:lineRule="auto" w:line="276"/>
        <w:jc w:val="both"/>
        <w:rPr>
          <w:b/>
          <w:sz w:val="22"/>
        </w:rPr>
      </w:pPr>
      <w:r>
        <w:rPr>
          <w:b/>
          <w:sz w:val="22"/>
        </w:rPr>
      </w:r>
    </w:p>
    <w:p>
      <w:pPr>
        <w:pStyle w:val="Normal"/>
        <w:widowControl w:val="false"/>
        <w:tabs>
          <w:tab w:val="clear" w:pos="708"/>
          <w:tab w:val="left" w:pos="567" w:leader="none"/>
          <w:tab w:val="left" w:pos="993" w:leader="none"/>
        </w:tabs>
        <w:ind w:left="644"/>
        <w:jc w:val="both"/>
        <w:rPr>
          <w:b/>
          <w:sz w:val="22"/>
        </w:rPr>
      </w:pPr>
      <w:r>
        <w:rPr>
          <w:b/>
          <w:sz w:val="22"/>
        </w:rPr>
        <w:t>Получатель: ООО «РТС-тендер»</w:t>
      </w:r>
    </w:p>
    <w:p>
      <w:pPr>
        <w:pStyle w:val="Normal"/>
        <w:widowControl w:val="false"/>
        <w:tabs>
          <w:tab w:val="clear" w:pos="708"/>
          <w:tab w:val="left" w:pos="567" w:leader="none"/>
          <w:tab w:val="left" w:pos="993" w:leader="none"/>
        </w:tabs>
        <w:ind w:left="644"/>
        <w:jc w:val="both"/>
        <w:rPr>
          <w:b/>
          <w:sz w:val="22"/>
        </w:rPr>
      </w:pPr>
      <w:r>
        <w:rPr>
          <w:b/>
          <w:sz w:val="22"/>
        </w:rPr>
        <w:t>Наименование банка: Филиал "Корпоративный" ПАО "Совкомбанк"</w:t>
      </w:r>
    </w:p>
    <w:p>
      <w:pPr>
        <w:pStyle w:val="Normal"/>
        <w:widowControl w:val="false"/>
        <w:tabs>
          <w:tab w:val="clear" w:pos="708"/>
          <w:tab w:val="left" w:pos="567" w:leader="none"/>
          <w:tab w:val="left" w:pos="993" w:leader="none"/>
        </w:tabs>
        <w:ind w:left="644"/>
        <w:jc w:val="both"/>
        <w:rPr>
          <w:b/>
          <w:sz w:val="22"/>
        </w:rPr>
      </w:pPr>
      <w:r>
        <w:rPr>
          <w:b/>
          <w:sz w:val="22"/>
        </w:rPr>
        <w:t>Расчетный счёт:40702810512030016362</w:t>
      </w:r>
    </w:p>
    <w:p>
      <w:pPr>
        <w:pStyle w:val="Normal"/>
        <w:widowControl w:val="false"/>
        <w:tabs>
          <w:tab w:val="clear" w:pos="708"/>
          <w:tab w:val="left" w:pos="567" w:leader="none"/>
          <w:tab w:val="left" w:pos="993" w:leader="none"/>
        </w:tabs>
        <w:ind w:left="644"/>
        <w:jc w:val="both"/>
        <w:rPr>
          <w:b/>
          <w:sz w:val="22"/>
        </w:rPr>
      </w:pPr>
      <w:r>
        <w:rPr>
          <w:b/>
          <w:sz w:val="22"/>
        </w:rPr>
        <w:t>Корр. счёт:30101810445250000360</w:t>
      </w:r>
    </w:p>
    <w:p>
      <w:pPr>
        <w:pStyle w:val="Normal"/>
        <w:widowControl w:val="false"/>
        <w:tabs>
          <w:tab w:val="clear" w:pos="708"/>
          <w:tab w:val="left" w:pos="567" w:leader="none"/>
          <w:tab w:val="left" w:pos="993" w:leader="none"/>
        </w:tabs>
        <w:ind w:left="644"/>
        <w:jc w:val="both"/>
        <w:rPr>
          <w:b/>
          <w:sz w:val="22"/>
        </w:rPr>
      </w:pPr>
      <w:r>
        <w:rPr>
          <w:b/>
          <w:sz w:val="22"/>
        </w:rPr>
        <w:t>БИК:044525360</w:t>
      </w:r>
    </w:p>
    <w:p>
      <w:pPr>
        <w:pStyle w:val="Normal"/>
        <w:widowControl w:val="false"/>
        <w:tabs>
          <w:tab w:val="clear" w:pos="708"/>
          <w:tab w:val="left" w:pos="567" w:leader="none"/>
          <w:tab w:val="left" w:pos="993" w:leader="none"/>
        </w:tabs>
        <w:ind w:left="644"/>
        <w:jc w:val="both"/>
        <w:rPr>
          <w:b/>
          <w:sz w:val="22"/>
        </w:rPr>
      </w:pPr>
      <w:r>
        <w:rPr>
          <w:b/>
          <w:sz w:val="22"/>
        </w:rPr>
        <w:t>ИНН:7710357167</w:t>
      </w:r>
    </w:p>
    <w:p>
      <w:pPr>
        <w:pStyle w:val="Normal"/>
        <w:widowControl w:val="false"/>
        <w:tabs>
          <w:tab w:val="clear" w:pos="708"/>
          <w:tab w:val="left" w:pos="567" w:leader="none"/>
          <w:tab w:val="left" w:pos="993" w:leader="none"/>
        </w:tabs>
        <w:ind w:left="644"/>
        <w:jc w:val="both"/>
        <w:rPr>
          <w:b/>
          <w:sz w:val="22"/>
        </w:rPr>
      </w:pPr>
      <w:r>
        <w:rPr>
          <w:b/>
          <w:sz w:val="22"/>
        </w:rPr>
        <w:t>КПП:773001001</w:t>
      </w:r>
    </w:p>
    <w:p>
      <w:pPr>
        <w:pStyle w:val="Normal"/>
        <w:widowControl w:val="false"/>
        <w:tabs>
          <w:tab w:val="clear" w:pos="708"/>
          <w:tab w:val="left" w:pos="567" w:leader="none"/>
          <w:tab w:val="left" w:pos="993" w:leader="none"/>
        </w:tabs>
        <w:ind w:left="644"/>
        <w:jc w:val="both"/>
        <w:rPr>
          <w:b/>
          <w:sz w:val="22"/>
        </w:rPr>
      </w:pPr>
      <w:r>
        <w:rPr>
          <w:b/>
          <w:sz w:val="22"/>
          <w:u w:val="single"/>
        </w:rPr>
        <w:t>Назначение платежа:</w:t>
      </w:r>
      <w:r>
        <w:rPr>
          <w:b/>
          <w:sz w:val="22"/>
        </w:rPr>
        <w:t xml:space="preserve"> Внесение гарантийного обеспечения по Соглашению о внесении гарантийного обеспечения, Извещение № -____________, Лот №____________. Без НДС.</w:t>
      </w:r>
    </w:p>
    <w:p>
      <w:pPr>
        <w:pStyle w:val="Normal"/>
        <w:widowControl w:val="false"/>
        <w:tabs>
          <w:tab w:val="clear" w:pos="708"/>
          <w:tab w:val="left" w:pos="567" w:leader="none"/>
          <w:tab w:val="left" w:pos="993" w:leader="none"/>
        </w:tabs>
        <w:ind w:left="644"/>
        <w:jc w:val="both"/>
        <w:rPr>
          <w:b/>
          <w:sz w:val="22"/>
        </w:rPr>
      </w:pPr>
      <w:r>
        <w:rPr>
          <w:b/>
          <w:sz w:val="22"/>
        </w:rPr>
      </w:r>
    </w:p>
    <w:p>
      <w:pPr>
        <w:pStyle w:val="Normal"/>
        <w:widowControl w:val="false"/>
        <w:tabs>
          <w:tab w:val="clear" w:pos="708"/>
          <w:tab w:val="left" w:pos="567" w:leader="none"/>
          <w:tab w:val="left" w:pos="993" w:leader="none"/>
        </w:tabs>
        <w:ind w:left="644"/>
        <w:jc w:val="both"/>
        <w:rPr>
          <w:b/>
        </w:rPr>
      </w:pPr>
      <w:r>
        <w:rPr>
          <w:b/>
        </w:rPr>
        <w:t>16. Возврат задатка</w:t>
      </w:r>
    </w:p>
    <w:p>
      <w:pPr>
        <w:pStyle w:val="Normal"/>
        <w:widowControl w:val="false"/>
        <w:tabs>
          <w:tab w:val="clear" w:pos="708"/>
          <w:tab w:val="left" w:pos="567" w:leader="none"/>
        </w:tabs>
        <w:ind w:firstLine="567"/>
        <w:jc w:val="both"/>
        <w:rPr/>
      </w:pPr>
      <w:r>
        <w:rPr/>
        <w:t>Денежные средства, внесенные в качестве задатка на участие в аукционе победителем аукциона, засчитываются в качестве оплаты покупной цены имущества. При не направлении продавцу победителем аукциона в срок, предусмотренный извещением, договора купли-продажи, победитель признается уклонившимся от заключения договора. В случае уклонения победителя аукциона от заключения договора задаток не возвращается.</w:t>
      </w:r>
    </w:p>
    <w:p>
      <w:pPr>
        <w:pStyle w:val="Normal"/>
        <w:widowControl w:val="false"/>
        <w:tabs>
          <w:tab w:val="clear" w:pos="708"/>
          <w:tab w:val="left" w:pos="567" w:leader="none"/>
        </w:tabs>
        <w:ind w:firstLine="539"/>
        <w:jc w:val="both"/>
        <w:rPr/>
      </w:pPr>
      <w:r>
        <w:rPr/>
        <w:t>Возврат задатка Заявителю осуществляется в следующем порядке:</w:t>
      </w:r>
    </w:p>
    <w:p>
      <w:pPr>
        <w:pStyle w:val="Normal"/>
        <w:widowControl w:val="false"/>
        <w:tabs>
          <w:tab w:val="clear" w:pos="708"/>
          <w:tab w:val="left" w:pos="567" w:leader="none"/>
        </w:tabs>
        <w:ind w:firstLine="539"/>
        <w:jc w:val="both"/>
        <w:rPr/>
      </w:pPr>
      <w:r>
        <w:rPr/>
        <w:t>- в случае, если Заявитель не будет допущен к участию в аукционе - в течение 5 (пяти) рабочих дней с даты оформления Комиссией по проведению торгов Протокола окончания приема и регистрации заявок на участие в аукционе;</w:t>
      </w:r>
    </w:p>
    <w:p>
      <w:pPr>
        <w:pStyle w:val="Normal"/>
        <w:widowControl w:val="false"/>
        <w:tabs>
          <w:tab w:val="clear" w:pos="708"/>
          <w:tab w:val="left" w:pos="567" w:leader="none"/>
        </w:tabs>
        <w:ind w:firstLine="539"/>
        <w:jc w:val="both"/>
        <w:rPr/>
      </w:pPr>
      <w:r>
        <w:rPr/>
        <w:t xml:space="preserve">- в случае, если Заявитель участвовал в аукционе, но не выиграл его - немедленно по окончанию публичных торгов; </w:t>
      </w:r>
    </w:p>
    <w:p>
      <w:pPr>
        <w:pStyle w:val="Normal"/>
        <w:widowControl w:val="false"/>
        <w:tabs>
          <w:tab w:val="clear" w:pos="708"/>
          <w:tab w:val="left" w:pos="567" w:leader="none"/>
        </w:tabs>
        <w:ind w:firstLine="539"/>
        <w:jc w:val="both"/>
        <w:rPr/>
      </w:pPr>
      <w:r>
        <w:rPr/>
        <w:t xml:space="preserve">- в случае отзыва Заявителем заявки на участие в аукционе до момента приобретения им статуса участника аукциона - в течение 5 (пяти) рабочих дней со дня поступления организатору аукциона от Заявителя уведомления об отзыве заявки; </w:t>
      </w:r>
    </w:p>
    <w:p>
      <w:pPr>
        <w:pStyle w:val="Normal"/>
        <w:widowControl w:val="false"/>
        <w:tabs>
          <w:tab w:val="clear" w:pos="708"/>
          <w:tab w:val="left" w:pos="567" w:leader="none"/>
        </w:tabs>
        <w:ind w:firstLine="539"/>
        <w:jc w:val="both"/>
        <w:rPr>
          <w:u w:val="single"/>
        </w:rPr>
      </w:pPr>
      <w:r>
        <w:rPr/>
        <w:t>- в случае признания аукциона несостоявшимися - в течение 5 (пяти) рабочих дней со дня принятия Комиссией по проведению торгов решения об объявлении аукциона несостоявшимся;</w:t>
      </w:r>
    </w:p>
    <w:p>
      <w:pPr>
        <w:pStyle w:val="Normal"/>
        <w:widowControl w:val="false"/>
        <w:tabs>
          <w:tab w:val="clear" w:pos="708"/>
          <w:tab w:val="left" w:pos="567" w:leader="none"/>
        </w:tabs>
        <w:ind w:firstLine="539"/>
        <w:jc w:val="both"/>
        <w:rPr/>
      </w:pPr>
      <w:r>
        <w:rPr/>
        <w:t>- в случае отмены аукциона по продаже Имущества - в течение 5 (пяти) рабочих дней со дня принятия Комиссией по проведению торгов решения об отмене аукциона.</w:t>
      </w:r>
    </w:p>
    <w:p>
      <w:pPr>
        <w:pStyle w:val="Normal"/>
        <w:widowControl w:val="false"/>
        <w:tabs>
          <w:tab w:val="clear" w:pos="708"/>
          <w:tab w:val="left" w:pos="567" w:leader="none"/>
        </w:tabs>
        <w:ind w:firstLine="539"/>
        <w:jc w:val="both"/>
        <w:rPr>
          <w:highlight w:val="lightGray"/>
        </w:rPr>
      </w:pPr>
      <w:r>
        <w:rPr>
          <w:highlight w:val="lightGray"/>
        </w:rPr>
      </w:r>
    </w:p>
    <w:p>
      <w:pPr>
        <w:pStyle w:val="Normal"/>
        <w:widowControl w:val="false"/>
        <w:tabs>
          <w:tab w:val="clear" w:pos="708"/>
          <w:tab w:val="left" w:pos="567" w:leader="none"/>
        </w:tabs>
        <w:ind w:firstLine="539"/>
        <w:jc w:val="both"/>
        <w:rPr>
          <w:b/>
        </w:rPr>
      </w:pPr>
      <w:r>
        <w:rPr>
          <w:b/>
        </w:rPr>
        <w:t xml:space="preserve">17. Общие положения </w:t>
      </w:r>
    </w:p>
    <w:p>
      <w:pPr>
        <w:pStyle w:val="Normal"/>
        <w:widowControl w:val="false"/>
        <w:tabs>
          <w:tab w:val="clear" w:pos="708"/>
          <w:tab w:val="left" w:pos="567" w:leader="none"/>
        </w:tabs>
        <w:ind w:firstLine="539"/>
        <w:jc w:val="both"/>
        <w:rPr/>
      </w:pPr>
      <w:r>
        <w:rPr/>
        <w:t xml:space="preserve">Все вопросы, касающиеся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об аукционе и о правилах его проведения, ознакомиться с формой заявки, можно на официальном сайте </w:t>
      </w:r>
      <w:hyperlink r:id="rId10">
        <w:r>
          <w:rPr>
            <w:rStyle w:val="Style"/>
          </w:rPr>
          <w:t>http://www.torgi.gov.ru</w:t>
        </w:r>
      </w:hyperlink>
      <w:r>
        <w:rPr/>
        <w:t xml:space="preserve">, сайте электронной торговой площадки на сайте </w:t>
      </w:r>
      <w:hyperlink r:id="rId11">
        <w:r>
          <w:rPr>
            <w:rStyle w:val="Style"/>
          </w:rPr>
          <w:t>https://www.rts-tender.ru</w:t>
        </w:r>
      </w:hyperlink>
      <w:r>
        <w:rPr/>
        <w:t xml:space="preserve">, в соответствии со ст. 447-449 ГК РФ, ст. 87, 89, 90 ФЗ «Об исполнительном производстве» от 02 октября 2007г. № 229-ФЗ, № 102-ФЗ от 16.07.1998г. «Об ипотеке (залоге недвижимости)», ознакомиться с документацией о предмете аукциона можно по адресу местонахождения продавца, а также путем направления запроса на электронную почту продавца </w:t>
      </w:r>
      <w:hyperlink r:id="rId12">
        <w:r>
          <w:rPr>
            <w:rStyle w:val="Style"/>
          </w:rPr>
          <w:t>tu35@rosim.ru</w:t>
        </w:r>
      </w:hyperlink>
      <w:r>
        <w:rPr/>
        <w:t>, либо через личный кабинет на электронной площадке «РТС-Тендер».</w:t>
      </w:r>
    </w:p>
    <w:p>
      <w:pPr>
        <w:pStyle w:val="Normal"/>
        <w:widowControl w:val="false"/>
        <w:tabs>
          <w:tab w:val="clear" w:pos="708"/>
          <w:tab w:val="left" w:pos="567" w:leader="none"/>
        </w:tabs>
        <w:rPr/>
      </w:pPr>
      <w:r>
        <w:rPr/>
      </w:r>
    </w:p>
    <w:p>
      <w:pPr>
        <w:pStyle w:val="Normal"/>
        <w:widowControl w:val="false"/>
        <w:tabs>
          <w:tab w:val="clear" w:pos="708"/>
          <w:tab w:val="left" w:pos="567" w:leader="none"/>
        </w:tabs>
        <w:jc w:val="right"/>
        <w:rPr/>
      </w:pPr>
      <w:r>
        <w:rPr/>
      </w:r>
    </w:p>
    <w:p>
      <w:pPr>
        <w:pStyle w:val="Normal"/>
        <w:widowControl w:val="false"/>
        <w:tabs>
          <w:tab w:val="clear" w:pos="708"/>
          <w:tab w:val="left" w:pos="567" w:leader="none"/>
        </w:tabs>
        <w:jc w:val="right"/>
        <w:rPr>
          <w:rFonts w:ascii="Times New Roman CYR" w:hAnsi="Times New Roman CYR"/>
        </w:rPr>
      </w:pPr>
      <w:r>
        <w:rPr>
          <w:rFonts w:ascii="Times New Roman CYR" w:hAnsi="Times New Roman CYR"/>
        </w:rPr>
      </w:r>
    </w:p>
    <w:p>
      <w:pPr>
        <w:pStyle w:val="Normal"/>
        <w:widowControl w:val="false"/>
        <w:tabs>
          <w:tab w:val="clear" w:pos="708"/>
          <w:tab w:val="left" w:pos="567" w:leader="none"/>
        </w:tabs>
        <w:jc w:val="right"/>
        <w:rPr>
          <w:rFonts w:ascii="Times New Roman CYR" w:hAnsi="Times New Roman CYR"/>
        </w:rPr>
      </w:pPr>
      <w:r>
        <w:rPr>
          <w:rFonts w:ascii="Times New Roman CYR" w:hAnsi="Times New Roman CYR"/>
        </w:rPr>
      </w:r>
    </w:p>
    <w:sectPr>
      <w:headerReference w:type="even" r:id="rId13"/>
      <w:headerReference w:type="default" r:id="rId14"/>
      <w:headerReference w:type="first" r:id="rId15"/>
      <w:footerReference w:type="even" r:id="rId16"/>
      <w:footerReference w:type="default" r:id="rId17"/>
      <w:footerReference w:type="first" r:id="rId18"/>
      <w:type w:val="nextPage"/>
      <w:pgSz w:w="11906" w:h="16838"/>
      <w:pgMar w:left="1134" w:right="567" w:gutter="0" w:header="709" w:top="766"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XO Thames">
    <w:charset w:val="01"/>
    <w:family w:val="roman"/>
    <w:pitch w:val="variable"/>
  </w:font>
  <w:font w:name="Arial">
    <w:charset w:val="01"/>
    <w:family w:val="swiss"/>
    <w:pitch w:val="variable"/>
  </w:font>
  <w:font w:name="Tahoma">
    <w:charset w:val="01"/>
    <w:family w:val="roman"/>
    <w:pitch w:val="variable"/>
  </w:font>
  <w:font w:name="Liberation Sans">
    <w:altName w:val="Arial"/>
    <w:charset w:val="01"/>
    <w:family w:val="swiss"/>
    <w:pitch w:val="variable"/>
  </w:font>
  <w:font w:name="Times New Roman CYR">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isLgl/>
      <w:numFmt w:val="decimal"/>
      <w:lvlText w:val="%1."/>
      <w:lvlJc w:val="left"/>
      <w:pPr>
        <w:tabs>
          <w:tab w:val="num" w:pos="0"/>
        </w:tabs>
        <w:ind w:left="360" w:hanging="360"/>
      </w:pPr>
      <w:rPr/>
    </w:lvl>
    <w:lvl w:ilvl="1">
      <w:start w:val="1"/>
      <w:isLgl/>
      <w:numFmt w:val="decimal"/>
      <w:lvlText w:val="%1.%2."/>
      <w:lvlJc w:val="left"/>
      <w:pPr>
        <w:tabs>
          <w:tab w:val="num" w:pos="0"/>
        </w:tabs>
        <w:ind w:left="840" w:hanging="480"/>
      </w:pPr>
      <w:rPr/>
    </w:lvl>
    <w:lvl w:ilvl="2">
      <w:start w:val="1"/>
      <w:isLgl/>
      <w:numFmt w:val="decimal"/>
      <w:lvlText w:val="%1.%2.%3."/>
      <w:lvlJc w:val="left"/>
      <w:pPr>
        <w:tabs>
          <w:tab w:val="num" w:pos="0"/>
        </w:tabs>
        <w:ind w:left="1440" w:hanging="720"/>
      </w:pPr>
      <w:rPr/>
    </w:lvl>
    <w:lvl w:ilvl="3">
      <w:start w:val="1"/>
      <w:isLgl/>
      <w:numFmt w:val="decimal"/>
      <w:lvlText w:val="%1.%2.%3.%4."/>
      <w:lvlJc w:val="left"/>
      <w:pPr>
        <w:tabs>
          <w:tab w:val="num" w:pos="0"/>
        </w:tabs>
        <w:ind w:left="1800" w:hanging="720"/>
      </w:pPr>
      <w:rPr/>
    </w:lvl>
    <w:lvl w:ilvl="4">
      <w:start w:val="1"/>
      <w:isLgl/>
      <w:numFmt w:val="decimal"/>
      <w:lvlText w:val="%1.%2.%3.%4.%5."/>
      <w:lvlJc w:val="left"/>
      <w:pPr>
        <w:tabs>
          <w:tab w:val="num" w:pos="0"/>
        </w:tabs>
        <w:ind w:left="2520" w:hanging="1080"/>
      </w:pPr>
      <w:rPr/>
    </w:lvl>
    <w:lvl w:ilvl="5">
      <w:start w:val="1"/>
      <w:isLgl/>
      <w:numFmt w:val="decimal"/>
      <w:lvlText w:val="%1.%2.%3.%4.%5.%6."/>
      <w:lvlJc w:val="left"/>
      <w:pPr>
        <w:tabs>
          <w:tab w:val="num" w:pos="0"/>
        </w:tabs>
        <w:ind w:left="2880" w:hanging="1080"/>
      </w:pPr>
      <w:rPr/>
    </w:lvl>
    <w:lvl w:ilvl="6">
      <w:start w:val="1"/>
      <w:isLgl/>
      <w:numFmt w:val="decimal"/>
      <w:lvlText w:val="%1.%2.%3.%4.%5.%6.%7."/>
      <w:lvlJc w:val="left"/>
      <w:pPr>
        <w:tabs>
          <w:tab w:val="num" w:pos="0"/>
        </w:tabs>
        <w:ind w:left="3600" w:hanging="1440"/>
      </w:pPr>
      <w:rPr/>
    </w:lvl>
    <w:lvl w:ilvl="7">
      <w:start w:val="1"/>
      <w:isLgl/>
      <w:numFmt w:val="decimal"/>
      <w:lvlText w:val="%1.%2.%3.%4.%5.%6.%7.%8."/>
      <w:lvlJc w:val="left"/>
      <w:pPr>
        <w:tabs>
          <w:tab w:val="num" w:pos="0"/>
        </w:tabs>
        <w:ind w:left="3960" w:hanging="1440"/>
      </w:pPr>
      <w:rPr/>
    </w:lvl>
    <w:lvl w:ilvl="8">
      <w:start w:val="1"/>
      <w:isLgl/>
      <w:numFmt w:val="decimal"/>
      <w:lvlText w:val="%1.%2.%3.%4.%5.%6.%7.%8.%9."/>
      <w:lvlJc w:val="left"/>
      <w:pPr>
        <w:tabs>
          <w:tab w:val="num" w:pos="0"/>
        </w:tabs>
        <w:ind w:left="4680" w:hanging="1800"/>
      </w:pPr>
      <w:rPr/>
    </w:lvl>
  </w:abstractNum>
  <w:abstractNum w:abstractNumId="2">
    <w:lvl w:ilvl="0">
      <w:start w:val="1"/>
      <w:isLgl/>
      <w:numFmt w:val="bullet"/>
      <w:lvlText w:val=""/>
      <w:lvlJc w:val="left"/>
      <w:pPr>
        <w:tabs>
          <w:tab w:val="num" w:pos="0"/>
        </w:tabs>
        <w:ind w:left="720"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3">
    <w:lvl w:ilvl="0">
      <w:start w:val="1"/>
      <w:isLgl/>
      <w:numFmt w:val="bullet"/>
      <w:lvlText w:val=""/>
      <w:lvlJc w:val="left"/>
      <w:pPr>
        <w:tabs>
          <w:tab w:val="num" w:pos="0"/>
        </w:tabs>
        <w:ind w:left="720" w:hanging="360"/>
      </w:pPr>
      <w:rPr>
        <w:rFonts w:ascii="Symbol" w:hAnsi="Symbol" w:cs="Symbol" w:hint="default"/>
      </w:rPr>
    </w:lvl>
    <w:lvl w:ilvl="1">
      <w:start w:val="1"/>
      <w:isLgl/>
      <w:numFmt w:val="bullet"/>
      <w:lvlText w:val="o"/>
      <w:lvlJc w:val="left"/>
      <w:pPr>
        <w:tabs>
          <w:tab w:val="num" w:pos="0"/>
        </w:tabs>
        <w:ind w:left="1440" w:hanging="360"/>
      </w:pPr>
      <w:rPr>
        <w:rFonts w:ascii="Courier New" w:hAnsi="Courier New" w:cs="Courier New" w:hint="default"/>
      </w:rPr>
    </w:lvl>
    <w:lvl w:ilvl="2">
      <w:start w:val="1"/>
      <w:isLgl/>
      <w:numFmt w:val="bullet"/>
      <w:lvlText w:val=""/>
      <w:lvlJc w:val="left"/>
      <w:pPr>
        <w:tabs>
          <w:tab w:val="num" w:pos="0"/>
        </w:tabs>
        <w:ind w:left="2160" w:hanging="360"/>
      </w:pPr>
      <w:rPr>
        <w:rFonts w:ascii="Wingdings" w:hAnsi="Wingdings" w:cs="Wingdings" w:hint="default"/>
      </w:rPr>
    </w:lvl>
    <w:lvl w:ilvl="3">
      <w:start w:val="1"/>
      <w:isLgl/>
      <w:numFmt w:val="bullet"/>
      <w:lvlText w:val=""/>
      <w:lvlJc w:val="left"/>
      <w:pPr>
        <w:tabs>
          <w:tab w:val="num" w:pos="0"/>
        </w:tabs>
        <w:ind w:left="2880" w:hanging="360"/>
      </w:pPr>
      <w:rPr>
        <w:rFonts w:ascii="Symbol" w:hAnsi="Symbol" w:cs="Symbol" w:hint="default"/>
      </w:rPr>
    </w:lvl>
    <w:lvl w:ilvl="4">
      <w:start w:val="1"/>
      <w:isLgl/>
      <w:numFmt w:val="bullet"/>
      <w:lvlText w:val="o"/>
      <w:lvlJc w:val="left"/>
      <w:pPr>
        <w:tabs>
          <w:tab w:val="num" w:pos="0"/>
        </w:tabs>
        <w:ind w:left="3600" w:hanging="360"/>
      </w:pPr>
      <w:rPr>
        <w:rFonts w:ascii="Courier New" w:hAnsi="Courier New" w:cs="Courier New" w:hint="default"/>
      </w:rPr>
    </w:lvl>
    <w:lvl w:ilvl="5">
      <w:start w:val="1"/>
      <w:isLgl/>
      <w:numFmt w:val="bullet"/>
      <w:lvlText w:val=""/>
      <w:lvlJc w:val="left"/>
      <w:pPr>
        <w:tabs>
          <w:tab w:val="num" w:pos="0"/>
        </w:tabs>
        <w:ind w:left="4320" w:hanging="360"/>
      </w:pPr>
      <w:rPr>
        <w:rFonts w:ascii="Wingdings" w:hAnsi="Wingdings" w:cs="Wingdings" w:hint="default"/>
      </w:rPr>
    </w:lvl>
    <w:lvl w:ilvl="6">
      <w:start w:val="1"/>
      <w:isLgl/>
      <w:numFmt w:val="bullet"/>
      <w:lvlText w:val=""/>
      <w:lvlJc w:val="left"/>
      <w:pPr>
        <w:tabs>
          <w:tab w:val="num" w:pos="0"/>
        </w:tabs>
        <w:ind w:left="5040" w:hanging="360"/>
      </w:pPr>
      <w:rPr>
        <w:rFonts w:ascii="Symbol" w:hAnsi="Symbol" w:cs="Symbol" w:hint="default"/>
      </w:rPr>
    </w:lvl>
    <w:lvl w:ilvl="7">
      <w:start w:val="1"/>
      <w:isLgl/>
      <w:numFmt w:val="bullet"/>
      <w:lvlText w:val="o"/>
      <w:lvlJc w:val="left"/>
      <w:pPr>
        <w:tabs>
          <w:tab w:val="num" w:pos="0"/>
        </w:tabs>
        <w:ind w:left="5760" w:hanging="360"/>
      </w:pPr>
      <w:rPr>
        <w:rFonts w:ascii="Courier New" w:hAnsi="Courier New" w:cs="Courier New" w:hint="default"/>
      </w:rPr>
    </w:lvl>
    <w:lvl w:ilvl="8">
      <w:start w:val="1"/>
      <w:isLgl/>
      <w:numFmt w:val="bullet"/>
      <w:lvlText w:val=""/>
      <w:lvlJc w:val="left"/>
      <w:pPr>
        <w:tabs>
          <w:tab w:val="num" w:pos="0"/>
        </w:tabs>
        <w:ind w:left="6480" w:hanging="360"/>
      </w:pPr>
      <w:rPr>
        <w:rFonts w:ascii="Wingdings" w:hAnsi="Wingdings" w:cs="Wingdings" w:hint="default"/>
      </w:rPr>
    </w:lvl>
  </w:abstractNum>
  <w:abstractNum w:abstractNumId="4">
    <w:lvl w:ilvl="0">
      <w:start w:val="1"/>
      <w:isLgl/>
      <w:numFmt w:val="bullet"/>
      <w:lvlText w:val=""/>
      <w:lvlJc w:val="left"/>
      <w:pPr>
        <w:tabs>
          <w:tab w:val="num" w:pos="0"/>
        </w:tabs>
        <w:ind w:left="360" w:hanging="360"/>
      </w:pPr>
      <w:rPr>
        <w:rFonts w:ascii="Symbol" w:hAnsi="Symbol" w:cs="Symbol" w:hint="default"/>
      </w:rPr>
    </w:lvl>
    <w:lvl w:ilvl="1">
      <w:start w:val="1"/>
      <w:isLgl/>
      <w:numFmt w:val="lowerLetter"/>
      <w:lvlText w:val="%2."/>
      <w:lvlJc w:val="left"/>
      <w:pPr>
        <w:tabs>
          <w:tab w:val="num" w:pos="0"/>
        </w:tabs>
        <w:ind w:left="1080" w:hanging="360"/>
      </w:pPr>
      <w:rPr/>
    </w:lvl>
    <w:lvl w:ilvl="2">
      <w:start w:val="1"/>
      <w:isLgl/>
      <w:numFmt w:val="lowerRoman"/>
      <w:lvlText w:val="%3."/>
      <w:lvlJc w:val="right"/>
      <w:pPr>
        <w:tabs>
          <w:tab w:val="num" w:pos="0"/>
        </w:tabs>
        <w:ind w:left="1800" w:hanging="180"/>
      </w:pPr>
      <w:rPr/>
    </w:lvl>
    <w:lvl w:ilvl="3">
      <w:start w:val="1"/>
      <w:isLgl/>
      <w:numFmt w:val="decimal"/>
      <w:lvlText w:val="%4."/>
      <w:lvlJc w:val="left"/>
      <w:pPr>
        <w:tabs>
          <w:tab w:val="num" w:pos="0"/>
        </w:tabs>
        <w:ind w:left="2520" w:hanging="360"/>
      </w:pPr>
      <w:rPr/>
    </w:lvl>
    <w:lvl w:ilvl="4">
      <w:start w:val="1"/>
      <w:isLgl/>
      <w:numFmt w:val="lowerLetter"/>
      <w:lvlText w:val="%5."/>
      <w:lvlJc w:val="left"/>
      <w:pPr>
        <w:tabs>
          <w:tab w:val="num" w:pos="0"/>
        </w:tabs>
        <w:ind w:left="3240" w:hanging="360"/>
      </w:pPr>
      <w:rPr/>
    </w:lvl>
    <w:lvl w:ilvl="5">
      <w:start w:val="1"/>
      <w:isLgl/>
      <w:numFmt w:val="lowerRoman"/>
      <w:lvlText w:val="%6."/>
      <w:lvlJc w:val="right"/>
      <w:pPr>
        <w:tabs>
          <w:tab w:val="num" w:pos="0"/>
        </w:tabs>
        <w:ind w:left="3960" w:hanging="180"/>
      </w:pPr>
      <w:rPr/>
    </w:lvl>
    <w:lvl w:ilvl="6">
      <w:start w:val="1"/>
      <w:isLgl/>
      <w:numFmt w:val="decimal"/>
      <w:lvlText w:val="%7."/>
      <w:lvlJc w:val="left"/>
      <w:pPr>
        <w:tabs>
          <w:tab w:val="num" w:pos="0"/>
        </w:tabs>
        <w:ind w:left="4680" w:hanging="360"/>
      </w:pPr>
      <w:rPr/>
    </w:lvl>
    <w:lvl w:ilvl="7">
      <w:start w:val="1"/>
      <w:isLgl/>
      <w:numFmt w:val="lowerLetter"/>
      <w:lvlText w:val="%8."/>
      <w:lvlJc w:val="left"/>
      <w:pPr>
        <w:tabs>
          <w:tab w:val="num" w:pos="0"/>
        </w:tabs>
        <w:ind w:left="5400" w:hanging="360"/>
      </w:pPr>
      <w:rPr/>
    </w:lvl>
    <w:lvl w:ilvl="8">
      <w:start w:val="1"/>
      <w:isLgl/>
      <w:numFmt w:val="lowerRoman"/>
      <w:lvlText w:val="%9."/>
      <w:lvlJc w:val="right"/>
      <w:pPr>
        <w:tabs>
          <w:tab w:val="num" w:pos="0"/>
        </w:tabs>
        <w:ind w:left="6120" w:hanging="180"/>
      </w:pPr>
      <w:rPr/>
    </w:lvl>
  </w:abstractNum>
  <w:abstractNum w:abstractNumId="5">
    <w:lvl w:ilvl="0">
      <w:start w:val="1"/>
      <w:isLgl/>
      <w:numFmt w:val="decimal"/>
      <w:lvlText w:val="%1."/>
      <w:lvlJc w:val="left"/>
      <w:pPr>
        <w:tabs>
          <w:tab w:val="num" w:pos="0"/>
        </w:tabs>
        <w:ind w:left="1200" w:hanging="360"/>
      </w:pPr>
      <w:rPr/>
    </w:lvl>
    <w:lvl w:ilvl="1">
      <w:start w:val="1"/>
      <w:isLgl/>
      <w:numFmt w:val="lowerLetter"/>
      <w:lvlText w:val="%2."/>
      <w:lvlJc w:val="left"/>
      <w:pPr>
        <w:tabs>
          <w:tab w:val="num" w:pos="0"/>
        </w:tabs>
        <w:ind w:left="1920" w:hanging="360"/>
      </w:pPr>
      <w:rPr/>
    </w:lvl>
    <w:lvl w:ilvl="2">
      <w:start w:val="1"/>
      <w:isLgl/>
      <w:numFmt w:val="lowerRoman"/>
      <w:lvlText w:val="%3."/>
      <w:lvlJc w:val="right"/>
      <w:pPr>
        <w:tabs>
          <w:tab w:val="num" w:pos="0"/>
        </w:tabs>
        <w:ind w:left="2640" w:hanging="180"/>
      </w:pPr>
      <w:rPr/>
    </w:lvl>
    <w:lvl w:ilvl="3">
      <w:start w:val="1"/>
      <w:isLgl/>
      <w:numFmt w:val="decimal"/>
      <w:lvlText w:val="%4."/>
      <w:lvlJc w:val="left"/>
      <w:pPr>
        <w:tabs>
          <w:tab w:val="num" w:pos="0"/>
        </w:tabs>
        <w:ind w:left="3360" w:hanging="360"/>
      </w:pPr>
      <w:rPr/>
    </w:lvl>
    <w:lvl w:ilvl="4">
      <w:start w:val="1"/>
      <w:isLgl/>
      <w:numFmt w:val="lowerLetter"/>
      <w:lvlText w:val="%5."/>
      <w:lvlJc w:val="left"/>
      <w:pPr>
        <w:tabs>
          <w:tab w:val="num" w:pos="0"/>
        </w:tabs>
        <w:ind w:left="4080" w:hanging="360"/>
      </w:pPr>
      <w:rPr/>
    </w:lvl>
    <w:lvl w:ilvl="5">
      <w:start w:val="1"/>
      <w:isLgl/>
      <w:numFmt w:val="lowerRoman"/>
      <w:lvlText w:val="%6."/>
      <w:lvlJc w:val="right"/>
      <w:pPr>
        <w:tabs>
          <w:tab w:val="num" w:pos="0"/>
        </w:tabs>
        <w:ind w:left="4800" w:hanging="180"/>
      </w:pPr>
      <w:rPr/>
    </w:lvl>
    <w:lvl w:ilvl="6">
      <w:start w:val="1"/>
      <w:isLgl/>
      <w:numFmt w:val="decimal"/>
      <w:lvlText w:val="%7."/>
      <w:lvlJc w:val="left"/>
      <w:pPr>
        <w:tabs>
          <w:tab w:val="num" w:pos="0"/>
        </w:tabs>
        <w:ind w:left="5520" w:hanging="360"/>
      </w:pPr>
      <w:rPr/>
    </w:lvl>
    <w:lvl w:ilvl="7">
      <w:start w:val="1"/>
      <w:isLgl/>
      <w:numFmt w:val="lowerLetter"/>
      <w:lvlText w:val="%8."/>
      <w:lvlJc w:val="left"/>
      <w:pPr>
        <w:tabs>
          <w:tab w:val="num" w:pos="0"/>
        </w:tabs>
        <w:ind w:left="6240" w:hanging="360"/>
      </w:pPr>
      <w:rPr/>
    </w:lvl>
    <w:lvl w:ilvl="8">
      <w:start w:val="1"/>
      <w:isLgl/>
      <w:numFmt w:val="lowerRoman"/>
      <w:lvlText w:val="%9."/>
      <w:lvlJc w:val="right"/>
      <w:pPr>
        <w:tabs>
          <w:tab w:val="num" w:pos="0"/>
        </w:tabs>
        <w:ind w:left="696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95f56"/>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zh-CN" w:bidi="hi-IN"/>
    </w:rPr>
  </w:style>
  <w:style w:type="paragraph" w:styleId="Heading1" w:customStyle="1">
    <w:name w:val="heading 1"/>
    <w:uiPriority w:val="9"/>
    <w:qFormat/>
    <w:rsid w:val="00695f56"/>
    <w:pPr>
      <w:widowControl/>
      <w:suppressAutoHyphens w:val="true"/>
      <w:bidi w:val="0"/>
      <w:spacing w:lineRule="auto" w:line="276" w:before="120" w:after="120"/>
      <w:jc w:val="both"/>
      <w:outlineLvl w:val="0"/>
    </w:pPr>
    <w:rPr>
      <w:rFonts w:ascii="XO Thames" w:hAnsi="XO Thames" w:eastAsia="Times New Roman" w:cs="Times New Roman"/>
      <w:b/>
      <w:color w:val="000000"/>
      <w:kern w:val="0"/>
      <w:sz w:val="32"/>
      <w:szCs w:val="20"/>
      <w:lang w:val="ru-RU" w:eastAsia="zh-CN" w:bidi="hi-IN"/>
    </w:rPr>
  </w:style>
  <w:style w:type="paragraph" w:styleId="Heading2" w:customStyle="1">
    <w:name w:val="heading 2"/>
    <w:uiPriority w:val="9"/>
    <w:qFormat/>
    <w:rsid w:val="00695f56"/>
    <w:pPr>
      <w:widowControl/>
      <w:suppressAutoHyphens w:val="true"/>
      <w:bidi w:val="0"/>
      <w:spacing w:lineRule="auto" w:line="276" w:before="120" w:after="120"/>
      <w:jc w:val="both"/>
      <w:outlineLvl w:val="1"/>
    </w:pPr>
    <w:rPr>
      <w:rFonts w:ascii="XO Thames" w:hAnsi="XO Thames" w:eastAsia="Times New Roman" w:cs="Times New Roman"/>
      <w:b/>
      <w:color w:val="000000"/>
      <w:kern w:val="0"/>
      <w:sz w:val="28"/>
      <w:szCs w:val="20"/>
      <w:lang w:val="ru-RU" w:eastAsia="zh-CN" w:bidi="hi-IN"/>
    </w:rPr>
  </w:style>
  <w:style w:type="paragraph" w:styleId="Heading3" w:customStyle="1">
    <w:name w:val="heading 3"/>
    <w:uiPriority w:val="9"/>
    <w:qFormat/>
    <w:rsid w:val="00695f56"/>
    <w:pPr>
      <w:widowControl/>
      <w:suppressAutoHyphens w:val="true"/>
      <w:bidi w:val="0"/>
      <w:spacing w:lineRule="auto" w:line="276" w:before="120" w:after="120"/>
      <w:jc w:val="both"/>
      <w:outlineLvl w:val="2"/>
    </w:pPr>
    <w:rPr>
      <w:rFonts w:ascii="XO Thames" w:hAnsi="XO Thames" w:eastAsia="Times New Roman" w:cs="Times New Roman"/>
      <w:b/>
      <w:color w:val="000000"/>
      <w:kern w:val="0"/>
      <w:sz w:val="26"/>
      <w:szCs w:val="20"/>
      <w:lang w:val="ru-RU" w:eastAsia="zh-CN" w:bidi="hi-IN"/>
    </w:rPr>
  </w:style>
  <w:style w:type="paragraph" w:styleId="Heading4" w:customStyle="1">
    <w:name w:val="heading 4"/>
    <w:uiPriority w:val="9"/>
    <w:qFormat/>
    <w:rsid w:val="00695f56"/>
    <w:pPr>
      <w:widowControl/>
      <w:suppressAutoHyphens w:val="true"/>
      <w:bidi w:val="0"/>
      <w:spacing w:lineRule="auto" w:line="276" w:before="120" w:after="120"/>
      <w:jc w:val="both"/>
      <w:outlineLvl w:val="3"/>
    </w:pPr>
    <w:rPr>
      <w:rFonts w:ascii="XO Thames" w:hAnsi="XO Thames" w:eastAsia="Times New Roman" w:cs="Times New Roman"/>
      <w:b/>
      <w:color w:val="000000"/>
      <w:kern w:val="0"/>
      <w:sz w:val="24"/>
      <w:szCs w:val="20"/>
      <w:lang w:val="ru-RU" w:eastAsia="zh-CN" w:bidi="hi-IN"/>
    </w:rPr>
  </w:style>
  <w:style w:type="paragraph" w:styleId="Heading5" w:customStyle="1">
    <w:name w:val="heading 5"/>
    <w:uiPriority w:val="9"/>
    <w:qFormat/>
    <w:rsid w:val="00695f56"/>
    <w:pPr>
      <w:widowControl/>
      <w:suppressAutoHyphens w:val="true"/>
      <w:bidi w:val="0"/>
      <w:spacing w:lineRule="auto" w:line="276" w:before="120" w:after="120"/>
      <w:jc w:val="both"/>
      <w:outlineLvl w:val="4"/>
    </w:pPr>
    <w:rPr>
      <w:rFonts w:ascii="XO Thames" w:hAnsi="XO Thames" w:eastAsia="Times New Roman" w:cs="Times New Roman"/>
      <w:b/>
      <w:color w:val="000000"/>
      <w:kern w:val="0"/>
      <w:sz w:val="22"/>
      <w:szCs w:val="20"/>
      <w:lang w:val="ru-RU" w:eastAsia="zh-CN" w:bidi="hi-IN"/>
    </w:rPr>
  </w:style>
  <w:style w:type="paragraph" w:styleId="Heading6" w:customStyle="1">
    <w:name w:val="heading 6"/>
    <w:basedOn w:val="Normal"/>
    <w:uiPriority w:val="9"/>
    <w:unhideWhenUsed/>
    <w:qFormat/>
    <w:rsid w:val="00695f56"/>
    <w:pPr>
      <w:keepNext w:val="true"/>
      <w:keepLines/>
      <w:spacing w:before="320" w:after="200"/>
      <w:outlineLvl w:val="5"/>
    </w:pPr>
    <w:rPr>
      <w:rFonts w:ascii="Arial" w:hAnsi="Arial" w:eastAsia="Arial" w:cs="Arial"/>
      <w:b/>
      <w:bCs/>
      <w:sz w:val="22"/>
      <w:szCs w:val="22"/>
    </w:rPr>
  </w:style>
  <w:style w:type="paragraph" w:styleId="Heading7" w:customStyle="1">
    <w:name w:val="heading 7"/>
    <w:basedOn w:val="Normal"/>
    <w:uiPriority w:val="9"/>
    <w:unhideWhenUsed/>
    <w:qFormat/>
    <w:rsid w:val="00695f56"/>
    <w:pPr>
      <w:keepNext w:val="true"/>
      <w:keepLines/>
      <w:spacing w:before="320" w:after="200"/>
      <w:outlineLvl w:val="6"/>
    </w:pPr>
    <w:rPr>
      <w:rFonts w:ascii="Arial" w:hAnsi="Arial" w:eastAsia="Arial" w:cs="Arial"/>
      <w:b/>
      <w:bCs/>
      <w:i/>
      <w:iCs/>
      <w:sz w:val="22"/>
      <w:szCs w:val="22"/>
    </w:rPr>
  </w:style>
  <w:style w:type="paragraph" w:styleId="Heading8" w:customStyle="1">
    <w:name w:val="heading 8"/>
    <w:basedOn w:val="Normal"/>
    <w:uiPriority w:val="9"/>
    <w:unhideWhenUsed/>
    <w:qFormat/>
    <w:rsid w:val="00695f56"/>
    <w:pPr>
      <w:keepNext w:val="true"/>
      <w:keepLines/>
      <w:spacing w:before="320" w:after="200"/>
      <w:outlineLvl w:val="7"/>
    </w:pPr>
    <w:rPr>
      <w:rFonts w:ascii="Arial" w:hAnsi="Arial" w:eastAsia="Arial" w:cs="Arial"/>
      <w:i/>
      <w:iCs/>
      <w:sz w:val="22"/>
      <w:szCs w:val="22"/>
    </w:rPr>
  </w:style>
  <w:style w:type="paragraph" w:styleId="Heading9" w:customStyle="1">
    <w:name w:val="heading 9"/>
    <w:basedOn w:val="Normal"/>
    <w:uiPriority w:val="9"/>
    <w:unhideWhenUsed/>
    <w:qFormat/>
    <w:rsid w:val="00695f56"/>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695f56"/>
    <w:rPr>
      <w:rFonts w:ascii="Arial" w:hAnsi="Arial" w:eastAsia="Arial" w:cs="Arial"/>
      <w:sz w:val="40"/>
      <w:szCs w:val="40"/>
    </w:rPr>
  </w:style>
  <w:style w:type="character" w:styleId="Heading2Char" w:customStyle="1">
    <w:name w:val="Heading 2 Char"/>
    <w:basedOn w:val="DefaultParagraphFont"/>
    <w:uiPriority w:val="9"/>
    <w:qFormat/>
    <w:rsid w:val="00695f56"/>
    <w:rPr>
      <w:rFonts w:ascii="Arial" w:hAnsi="Arial" w:eastAsia="Arial" w:cs="Arial"/>
      <w:sz w:val="34"/>
    </w:rPr>
  </w:style>
  <w:style w:type="character" w:styleId="Heading3Char" w:customStyle="1">
    <w:name w:val="Heading 3 Char"/>
    <w:basedOn w:val="DefaultParagraphFont"/>
    <w:uiPriority w:val="9"/>
    <w:qFormat/>
    <w:rsid w:val="00695f56"/>
    <w:rPr>
      <w:rFonts w:ascii="Arial" w:hAnsi="Arial" w:eastAsia="Arial" w:cs="Arial"/>
      <w:sz w:val="30"/>
      <w:szCs w:val="30"/>
    </w:rPr>
  </w:style>
  <w:style w:type="character" w:styleId="Heading4Char" w:customStyle="1">
    <w:name w:val="Heading 4 Char"/>
    <w:basedOn w:val="DefaultParagraphFont"/>
    <w:uiPriority w:val="9"/>
    <w:qFormat/>
    <w:rsid w:val="00695f56"/>
    <w:rPr>
      <w:rFonts w:ascii="Arial" w:hAnsi="Arial" w:eastAsia="Arial" w:cs="Arial"/>
      <w:b/>
      <w:bCs/>
      <w:sz w:val="26"/>
      <w:szCs w:val="26"/>
    </w:rPr>
  </w:style>
  <w:style w:type="character" w:styleId="Heading5Char" w:customStyle="1">
    <w:name w:val="Heading 5 Char"/>
    <w:basedOn w:val="DefaultParagraphFont"/>
    <w:uiPriority w:val="9"/>
    <w:qFormat/>
    <w:rsid w:val="00695f56"/>
    <w:rPr>
      <w:rFonts w:ascii="Arial" w:hAnsi="Arial" w:eastAsia="Arial" w:cs="Arial"/>
      <w:b/>
      <w:bCs/>
      <w:sz w:val="24"/>
      <w:szCs w:val="24"/>
    </w:rPr>
  </w:style>
  <w:style w:type="character" w:styleId="Heading6Char" w:customStyle="1">
    <w:name w:val="Heading 6 Char"/>
    <w:basedOn w:val="DefaultParagraphFont"/>
    <w:uiPriority w:val="9"/>
    <w:qFormat/>
    <w:rsid w:val="00695f56"/>
    <w:rPr>
      <w:rFonts w:ascii="Arial" w:hAnsi="Arial" w:eastAsia="Arial" w:cs="Arial"/>
      <w:b/>
      <w:bCs/>
      <w:sz w:val="22"/>
      <w:szCs w:val="22"/>
    </w:rPr>
  </w:style>
  <w:style w:type="character" w:styleId="Heading7Char" w:customStyle="1">
    <w:name w:val="Heading 7 Char"/>
    <w:basedOn w:val="DefaultParagraphFont"/>
    <w:uiPriority w:val="9"/>
    <w:qFormat/>
    <w:rsid w:val="00695f56"/>
    <w:rPr>
      <w:rFonts w:ascii="Arial" w:hAnsi="Arial" w:eastAsia="Arial" w:cs="Arial"/>
      <w:b/>
      <w:bCs/>
      <w:i/>
      <w:iCs/>
      <w:sz w:val="22"/>
      <w:szCs w:val="22"/>
    </w:rPr>
  </w:style>
  <w:style w:type="character" w:styleId="Heading8Char" w:customStyle="1">
    <w:name w:val="Heading 8 Char"/>
    <w:basedOn w:val="DefaultParagraphFont"/>
    <w:uiPriority w:val="9"/>
    <w:qFormat/>
    <w:rsid w:val="00695f56"/>
    <w:rPr>
      <w:rFonts w:ascii="Arial" w:hAnsi="Arial" w:eastAsia="Arial" w:cs="Arial"/>
      <w:i/>
      <w:iCs/>
      <w:sz w:val="22"/>
      <w:szCs w:val="22"/>
    </w:rPr>
  </w:style>
  <w:style w:type="character" w:styleId="Heading9Char" w:customStyle="1">
    <w:name w:val="Heading 9 Char"/>
    <w:basedOn w:val="DefaultParagraphFont"/>
    <w:uiPriority w:val="9"/>
    <w:qFormat/>
    <w:rsid w:val="00695f56"/>
    <w:rPr>
      <w:rFonts w:ascii="Arial" w:hAnsi="Arial" w:eastAsia="Arial" w:cs="Arial"/>
      <w:i/>
      <w:iCs/>
      <w:sz w:val="21"/>
      <w:szCs w:val="21"/>
    </w:rPr>
  </w:style>
  <w:style w:type="character" w:styleId="TitleChar" w:customStyle="1">
    <w:name w:val="Title Char"/>
    <w:basedOn w:val="DefaultParagraphFont"/>
    <w:uiPriority w:val="10"/>
    <w:qFormat/>
    <w:rsid w:val="00695f56"/>
    <w:rPr>
      <w:sz w:val="48"/>
      <w:szCs w:val="48"/>
    </w:rPr>
  </w:style>
  <w:style w:type="character" w:styleId="SubtitleChar" w:customStyle="1">
    <w:name w:val="Subtitle Char"/>
    <w:basedOn w:val="DefaultParagraphFont"/>
    <w:uiPriority w:val="11"/>
    <w:qFormat/>
    <w:rsid w:val="00695f56"/>
    <w:rPr>
      <w:sz w:val="24"/>
      <w:szCs w:val="24"/>
    </w:rPr>
  </w:style>
  <w:style w:type="character" w:styleId="QuoteChar" w:customStyle="1">
    <w:name w:val="Quote Char"/>
    <w:uiPriority w:val="29"/>
    <w:qFormat/>
    <w:rsid w:val="00695f56"/>
    <w:rPr>
      <w:i/>
    </w:rPr>
  </w:style>
  <w:style w:type="character" w:styleId="IntenseQuoteChar" w:customStyle="1">
    <w:name w:val="Intense Quote Char"/>
    <w:uiPriority w:val="30"/>
    <w:qFormat/>
    <w:rsid w:val="00695f56"/>
    <w:rPr>
      <w:i/>
    </w:rPr>
  </w:style>
  <w:style w:type="character" w:styleId="HeaderChar" w:customStyle="1">
    <w:name w:val="Header Char"/>
    <w:basedOn w:val="DefaultParagraphFont"/>
    <w:uiPriority w:val="99"/>
    <w:qFormat/>
    <w:rsid w:val="00695f56"/>
    <w:rPr/>
  </w:style>
  <w:style w:type="character" w:styleId="FooterChar" w:customStyle="1">
    <w:name w:val="Footer Char"/>
    <w:basedOn w:val="DefaultParagraphFont"/>
    <w:uiPriority w:val="99"/>
    <w:qFormat/>
    <w:rsid w:val="00695f56"/>
    <w:rPr/>
  </w:style>
  <w:style w:type="character" w:styleId="CaptionChar" w:customStyle="1">
    <w:name w:val="Caption Char"/>
    <w:uiPriority w:val="99"/>
    <w:qFormat/>
    <w:rsid w:val="00695f56"/>
    <w:rPr/>
  </w:style>
  <w:style w:type="character" w:styleId="FootnoteTextChar" w:customStyle="1">
    <w:name w:val="Footnote Text Char"/>
    <w:uiPriority w:val="99"/>
    <w:qFormat/>
    <w:rsid w:val="00695f56"/>
    <w:rPr>
      <w:sz w:val="18"/>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qFormat/>
    <w:rPr>
      <w:vertAlign w:val="superscript"/>
    </w:rPr>
  </w:style>
  <w:style w:type="character" w:styleId="FootnoteCharacters111111">
    <w:name w:val="Footnote Characters111111"/>
    <w:qFormat/>
    <w:rPr>
      <w:vertAlign w:val="superscript"/>
    </w:rPr>
  </w:style>
  <w:style w:type="character" w:styleId="FootnoteCharacters1111111">
    <w:name w:val="Footnote Characters1111111"/>
    <w:qFormat/>
    <w:rPr>
      <w:vertAlign w:val="superscript"/>
    </w:rPr>
  </w:style>
  <w:style w:type="character" w:styleId="FootnoteCharacters11111111">
    <w:name w:val="Footnote Characters11111111"/>
    <w:qFormat/>
    <w:rPr>
      <w:vertAlign w:val="superscript"/>
    </w:rPr>
  </w:style>
  <w:style w:type="character" w:styleId="FootnoteCharacters111111111">
    <w:name w:val="Footnote Characters111111111"/>
    <w:qFormat/>
    <w:rPr>
      <w:vertAlign w:val="superscript"/>
    </w:rPr>
  </w:style>
  <w:style w:type="character" w:styleId="FootnoteCharacters1111111111">
    <w:name w:val="Footnote Characters1111111111"/>
    <w:qFormat/>
    <w:rPr>
      <w:vertAlign w:val="superscript"/>
    </w:rPr>
  </w:style>
  <w:style w:type="character" w:styleId="FootnoteCharacters11111111111">
    <w:name w:val="Footnote Characters11111111111"/>
    <w:qFormat/>
    <w:rPr>
      <w:vertAlign w:val="superscript"/>
    </w:rPr>
  </w:style>
  <w:style w:type="character" w:styleId="FootnoteCharacters111111111111">
    <w:name w:val="Footnote Characters111111111111"/>
    <w:qFormat/>
    <w:rPr>
      <w:vertAlign w:val="superscript"/>
    </w:rPr>
  </w:style>
  <w:style w:type="character" w:styleId="FootnoteCharacters1111111111111">
    <w:name w:val="Footnote Characters1111111111111"/>
    <w:qFormat/>
    <w:rPr>
      <w:vertAlign w:val="superscript"/>
    </w:rPr>
  </w:style>
  <w:style w:type="character" w:styleId="FootnoteCharacters11111111111111">
    <w:name w:val="Footnote Characters11111111111111"/>
    <w:qFormat/>
    <w:rPr>
      <w:vertAlign w:val="superscript"/>
    </w:rPr>
  </w:style>
  <w:style w:type="character" w:styleId="FootnoteCharacters111111111111111" w:customStyle="1">
    <w:name w:val="Footnote Characters111111111111111"/>
    <w:qFormat/>
    <w:rsid w:val="00695f56"/>
    <w:rPr>
      <w:vertAlign w:val="superscript"/>
    </w:rPr>
  </w:style>
  <w:style w:type="character" w:styleId="FootnoteCharacters1111111111111111" w:customStyle="1">
    <w:name w:val="Footnote Characters1111111111111111"/>
    <w:qFormat/>
    <w:rsid w:val="00695f56"/>
    <w:rPr>
      <w:vertAlign w:val="superscript"/>
    </w:rPr>
  </w:style>
  <w:style w:type="character" w:styleId="FootnoteCharacters11111111111111111" w:customStyle="1">
    <w:name w:val="Footnote Characters11111111111111111"/>
    <w:qFormat/>
    <w:rsid w:val="00695f56"/>
    <w:rPr>
      <w:vertAlign w:val="superscript"/>
    </w:rPr>
  </w:style>
  <w:style w:type="character" w:styleId="FootnoteCharacters111111111111111111" w:customStyle="1">
    <w:name w:val="Footnote Characters111111111111111111"/>
    <w:qFormat/>
    <w:rsid w:val="00695f56"/>
    <w:rPr>
      <w:vertAlign w:val="superscript"/>
    </w:rPr>
  </w:style>
  <w:style w:type="character" w:styleId="FootnoteCharacters1111111111111111111" w:customStyle="1">
    <w:name w:val="Footnote Characters1111111111111111111"/>
    <w:qFormat/>
    <w:rsid w:val="00695f56"/>
    <w:rPr>
      <w:vertAlign w:val="superscript"/>
    </w:rPr>
  </w:style>
  <w:style w:type="character" w:styleId="FootnoteCharacters11111111111111111111" w:customStyle="1">
    <w:name w:val="Footnote Characters11111111111111111111"/>
    <w:qFormat/>
    <w:rsid w:val="00695f56"/>
    <w:rPr>
      <w:vertAlign w:val="superscript"/>
    </w:rPr>
  </w:style>
  <w:style w:type="character" w:styleId="FootnoteCharacters111111111111111111111" w:customStyle="1">
    <w:name w:val="Footnote Characters111111111111111111111"/>
    <w:qFormat/>
    <w:rsid w:val="00695f56"/>
    <w:rPr>
      <w:vertAlign w:val="superscript"/>
    </w:rPr>
  </w:style>
  <w:style w:type="character" w:styleId="FootnoteCharacters1111111111111111111111" w:customStyle="1">
    <w:name w:val="Footnote Characters1111111111111111111111"/>
    <w:qFormat/>
    <w:rsid w:val="00695f56"/>
    <w:rPr>
      <w:vertAlign w:val="superscript"/>
    </w:rPr>
  </w:style>
  <w:style w:type="character" w:styleId="FootnoteCharacters11111111111111111111111" w:customStyle="1">
    <w:name w:val="Footnote Characters11111111111111111111111"/>
    <w:qFormat/>
    <w:rsid w:val="00695f56"/>
    <w:rPr>
      <w:vertAlign w:val="superscript"/>
    </w:rPr>
  </w:style>
  <w:style w:type="character" w:styleId="FootnoteCharacters111111111111111111111111" w:customStyle="1">
    <w:name w:val="Footnote Characters111111111111111111111111"/>
    <w:qFormat/>
    <w:rsid w:val="00695f56"/>
    <w:rPr>
      <w:vertAlign w:val="superscript"/>
    </w:rPr>
  </w:style>
  <w:style w:type="character" w:styleId="FootnoteCharacters1111111111111111111111111" w:customStyle="1">
    <w:name w:val="Footnote Characters1111111111111111111111111"/>
    <w:qFormat/>
    <w:rsid w:val="00695f56"/>
    <w:rPr>
      <w:vertAlign w:val="superscript"/>
    </w:rPr>
  </w:style>
  <w:style w:type="character" w:styleId="FootnoteCharacters11111111111111111111111111" w:customStyle="1">
    <w:name w:val="Footnote Characters11111111111111111111111111"/>
    <w:qFormat/>
    <w:rsid w:val="00695f56"/>
    <w:rPr>
      <w:vertAlign w:val="superscript"/>
    </w:rPr>
  </w:style>
  <w:style w:type="character" w:styleId="FootnoteCharacters111111111111111111111111111" w:customStyle="1">
    <w:name w:val="Footnote Characters111111111111111111111111111"/>
    <w:qFormat/>
    <w:rsid w:val="00695f56"/>
    <w:rPr>
      <w:vertAlign w:val="superscript"/>
    </w:rPr>
  </w:style>
  <w:style w:type="character" w:styleId="FootnoteCharacters1111111111111111111111111111" w:customStyle="1">
    <w:name w:val="Footnote Characters1111111111111111111111111111"/>
    <w:qFormat/>
    <w:rsid w:val="00695f56"/>
    <w:rPr>
      <w:vertAlign w:val="superscript"/>
    </w:rPr>
  </w:style>
  <w:style w:type="character" w:styleId="FootnoteCharacters11111111111111111111111111111" w:customStyle="1">
    <w:name w:val="Footnote Characters11111111111111111111111111111"/>
    <w:qFormat/>
    <w:rsid w:val="00695f56"/>
    <w:rPr>
      <w:vertAlign w:val="superscript"/>
    </w:rPr>
  </w:style>
  <w:style w:type="character" w:styleId="FootnoteCharacters111111111111111111111111111111" w:customStyle="1">
    <w:name w:val="Footnote Characters111111111111111111111111111111"/>
    <w:uiPriority w:val="99"/>
    <w:unhideWhenUsed/>
    <w:qFormat/>
    <w:rsid w:val="00695f56"/>
    <w:rPr>
      <w:vertAlign w:val="superscript"/>
    </w:rPr>
  </w:style>
  <w:style w:type="character" w:styleId="EndnoteTextChar" w:customStyle="1">
    <w:name w:val="Endnote Text Char"/>
    <w:uiPriority w:val="99"/>
    <w:qFormat/>
    <w:rsid w:val="00695f56"/>
    <w:rPr>
      <w:sz w:val="20"/>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qFormat/>
    <w:rPr>
      <w:vertAlign w:val="superscript"/>
    </w:rPr>
  </w:style>
  <w:style w:type="character" w:styleId="EndnoteCharacters111111">
    <w:name w:val="Endnote Characters111111"/>
    <w:qFormat/>
    <w:rPr>
      <w:vertAlign w:val="superscript"/>
    </w:rPr>
  </w:style>
  <w:style w:type="character" w:styleId="EndnoteCharacters1111111">
    <w:name w:val="Endnote Characters1111111"/>
    <w:qFormat/>
    <w:rPr>
      <w:vertAlign w:val="superscript"/>
    </w:rPr>
  </w:style>
  <w:style w:type="character" w:styleId="EndnoteCharacters11111111">
    <w:name w:val="Endnote Characters11111111"/>
    <w:qFormat/>
    <w:rPr>
      <w:vertAlign w:val="superscript"/>
    </w:rPr>
  </w:style>
  <w:style w:type="character" w:styleId="EndnoteCharacters111111111">
    <w:name w:val="Endnote Characters111111111"/>
    <w:qFormat/>
    <w:rPr>
      <w:vertAlign w:val="superscript"/>
    </w:rPr>
  </w:style>
  <w:style w:type="character" w:styleId="EndnoteCharacters1111111111">
    <w:name w:val="Endnote Characters1111111111"/>
    <w:qFormat/>
    <w:rPr>
      <w:vertAlign w:val="superscript"/>
    </w:rPr>
  </w:style>
  <w:style w:type="character" w:styleId="EndnoteCharacters11111111111">
    <w:name w:val="Endnote Characters11111111111"/>
    <w:qFormat/>
    <w:rPr>
      <w:vertAlign w:val="superscript"/>
    </w:rPr>
  </w:style>
  <w:style w:type="character" w:styleId="EndnoteCharacters111111111111">
    <w:name w:val="Endnote Characters111111111111"/>
    <w:qFormat/>
    <w:rPr>
      <w:vertAlign w:val="superscript"/>
    </w:rPr>
  </w:style>
  <w:style w:type="character" w:styleId="EndnoteCharacters1111111111111">
    <w:name w:val="Endnote Characters1111111111111"/>
    <w:qFormat/>
    <w:rPr>
      <w:vertAlign w:val="superscript"/>
    </w:rPr>
  </w:style>
  <w:style w:type="character" w:styleId="EndnoteCharacters11111111111111">
    <w:name w:val="Endnote Characters11111111111111"/>
    <w:qFormat/>
    <w:rPr>
      <w:vertAlign w:val="superscript"/>
    </w:rPr>
  </w:style>
  <w:style w:type="character" w:styleId="EndnoteCharacters111111111111111" w:customStyle="1">
    <w:name w:val="Endnote Characters111111111111111"/>
    <w:qFormat/>
    <w:rsid w:val="00695f56"/>
    <w:rPr>
      <w:vertAlign w:val="superscript"/>
    </w:rPr>
  </w:style>
  <w:style w:type="character" w:styleId="EndnoteCharacters1111111111111111" w:customStyle="1">
    <w:name w:val="Endnote Characters1111111111111111"/>
    <w:qFormat/>
    <w:rsid w:val="00695f56"/>
    <w:rPr>
      <w:vertAlign w:val="superscript"/>
    </w:rPr>
  </w:style>
  <w:style w:type="character" w:styleId="EndnoteCharacters11111111111111111" w:customStyle="1">
    <w:name w:val="Endnote Characters11111111111111111"/>
    <w:qFormat/>
    <w:rsid w:val="00695f56"/>
    <w:rPr>
      <w:vertAlign w:val="superscript"/>
    </w:rPr>
  </w:style>
  <w:style w:type="character" w:styleId="EndnoteCharacters111111111111111111" w:customStyle="1">
    <w:name w:val="Endnote Characters111111111111111111"/>
    <w:qFormat/>
    <w:rsid w:val="00695f56"/>
    <w:rPr>
      <w:vertAlign w:val="superscript"/>
    </w:rPr>
  </w:style>
  <w:style w:type="character" w:styleId="EndnoteCharacters1111111111111111111" w:customStyle="1">
    <w:name w:val="Endnote Characters1111111111111111111"/>
    <w:qFormat/>
    <w:rsid w:val="00695f56"/>
    <w:rPr>
      <w:vertAlign w:val="superscript"/>
    </w:rPr>
  </w:style>
  <w:style w:type="character" w:styleId="EndnoteCharacters11111111111111111111" w:customStyle="1">
    <w:name w:val="Endnote Characters11111111111111111111"/>
    <w:qFormat/>
    <w:rsid w:val="00695f56"/>
    <w:rPr>
      <w:vertAlign w:val="superscript"/>
    </w:rPr>
  </w:style>
  <w:style w:type="character" w:styleId="EndnoteCharacters111111111111111111111" w:customStyle="1">
    <w:name w:val="Endnote Characters111111111111111111111"/>
    <w:qFormat/>
    <w:rsid w:val="00695f56"/>
    <w:rPr>
      <w:vertAlign w:val="superscript"/>
    </w:rPr>
  </w:style>
  <w:style w:type="character" w:styleId="EndnoteCharacters1111111111111111111111" w:customStyle="1">
    <w:name w:val="Endnote Characters1111111111111111111111"/>
    <w:qFormat/>
    <w:rsid w:val="00695f56"/>
    <w:rPr>
      <w:vertAlign w:val="superscript"/>
    </w:rPr>
  </w:style>
  <w:style w:type="character" w:styleId="EndnoteCharacters11111111111111111111111" w:customStyle="1">
    <w:name w:val="Endnote Characters11111111111111111111111"/>
    <w:qFormat/>
    <w:rsid w:val="00695f56"/>
    <w:rPr>
      <w:vertAlign w:val="superscript"/>
    </w:rPr>
  </w:style>
  <w:style w:type="character" w:styleId="EndnoteCharacters111111111111111111111111" w:customStyle="1">
    <w:name w:val="Endnote Characters111111111111111111111111"/>
    <w:qFormat/>
    <w:rsid w:val="00695f56"/>
    <w:rPr>
      <w:vertAlign w:val="superscript"/>
    </w:rPr>
  </w:style>
  <w:style w:type="character" w:styleId="EndnoteCharacters1111111111111111111111111" w:customStyle="1">
    <w:name w:val="Endnote Characters1111111111111111111111111"/>
    <w:qFormat/>
    <w:rsid w:val="00695f56"/>
    <w:rPr>
      <w:vertAlign w:val="superscript"/>
    </w:rPr>
  </w:style>
  <w:style w:type="character" w:styleId="EndnoteCharacters11111111111111111111111111" w:customStyle="1">
    <w:name w:val="Endnote Characters11111111111111111111111111"/>
    <w:qFormat/>
    <w:rsid w:val="00695f56"/>
    <w:rPr>
      <w:vertAlign w:val="superscript"/>
    </w:rPr>
  </w:style>
  <w:style w:type="character" w:styleId="EndnoteCharacters111111111111111111111111111" w:customStyle="1">
    <w:name w:val="Endnote Characters111111111111111111111111111"/>
    <w:qFormat/>
    <w:rsid w:val="00695f56"/>
    <w:rPr>
      <w:vertAlign w:val="superscript"/>
    </w:rPr>
  </w:style>
  <w:style w:type="character" w:styleId="EndnoteCharacters1111111111111111111111111111" w:customStyle="1">
    <w:name w:val="Endnote Characters1111111111111111111111111111"/>
    <w:qFormat/>
    <w:rsid w:val="00695f56"/>
    <w:rPr>
      <w:vertAlign w:val="superscript"/>
    </w:rPr>
  </w:style>
  <w:style w:type="character" w:styleId="EndnoteCharacters11111111111111111111111111111" w:customStyle="1">
    <w:name w:val="Endnote Characters11111111111111111111111111111"/>
    <w:qFormat/>
    <w:rsid w:val="00695f56"/>
    <w:rPr>
      <w:vertAlign w:val="superscript"/>
    </w:rPr>
  </w:style>
  <w:style w:type="character" w:styleId="EndnoteCharacters111111111111111111111111111111" w:customStyle="1">
    <w:name w:val="Endnote Characters111111111111111111111111111111"/>
    <w:uiPriority w:val="99"/>
    <w:semiHidden/>
    <w:unhideWhenUsed/>
    <w:qFormat/>
    <w:rsid w:val="00695f56"/>
    <w:rPr>
      <w:vertAlign w:val="superscript"/>
    </w:rPr>
  </w:style>
  <w:style w:type="character" w:styleId="Contents2" w:customStyle="1">
    <w:name w:val="Contents 2"/>
    <w:qFormat/>
    <w:rsid w:val="00695f56"/>
    <w:rPr>
      <w:rFonts w:ascii="XO Thames" w:hAnsi="XO Thames"/>
      <w:sz w:val="28"/>
    </w:rPr>
  </w:style>
  <w:style w:type="character" w:styleId="Contents4" w:customStyle="1">
    <w:name w:val="Contents 4"/>
    <w:qFormat/>
    <w:rsid w:val="00695f56"/>
    <w:rPr>
      <w:rFonts w:ascii="XO Thames" w:hAnsi="XO Thames"/>
      <w:sz w:val="28"/>
    </w:rPr>
  </w:style>
  <w:style w:type="character" w:styleId="Contents6" w:customStyle="1">
    <w:name w:val="Contents 6"/>
    <w:qFormat/>
    <w:rsid w:val="00695f56"/>
    <w:rPr>
      <w:rFonts w:ascii="XO Thames" w:hAnsi="XO Thames"/>
      <w:sz w:val="28"/>
    </w:rPr>
  </w:style>
  <w:style w:type="character" w:styleId="Contents7" w:customStyle="1">
    <w:name w:val="Contents 7"/>
    <w:qFormat/>
    <w:rsid w:val="00695f56"/>
    <w:rPr>
      <w:rFonts w:ascii="XO Thames" w:hAnsi="XO Thames"/>
      <w:sz w:val="28"/>
    </w:rPr>
  </w:style>
  <w:style w:type="character" w:styleId="Endnote" w:customStyle="1">
    <w:name w:val="Endnote"/>
    <w:qFormat/>
    <w:rsid w:val="00695f56"/>
    <w:rPr>
      <w:rFonts w:ascii="XO Thames" w:hAnsi="XO Thames"/>
      <w:sz w:val="22"/>
    </w:rPr>
  </w:style>
  <w:style w:type="character" w:styleId="Heading31" w:customStyle="1">
    <w:name w:val="Heading 31"/>
    <w:qFormat/>
    <w:rsid w:val="00695f56"/>
    <w:rPr>
      <w:rFonts w:ascii="XO Thames" w:hAnsi="XO Thames"/>
      <w:b/>
      <w:sz w:val="26"/>
    </w:rPr>
  </w:style>
  <w:style w:type="character" w:styleId="Footer1" w:customStyle="1">
    <w:name w:val="Footer1"/>
    <w:qFormat/>
    <w:rsid w:val="00695f56"/>
    <w:rPr/>
  </w:style>
  <w:style w:type="character" w:styleId="1" w:customStyle="1">
    <w:name w:val="Абзац списка1"/>
    <w:qFormat/>
    <w:rsid w:val="00695f56"/>
    <w:rPr>
      <w:rFonts w:ascii="Calibri" w:hAnsi="Calibri"/>
      <w:sz w:val="22"/>
    </w:rPr>
  </w:style>
  <w:style w:type="character" w:styleId="Header1" w:customStyle="1">
    <w:name w:val="Header1"/>
    <w:qFormat/>
    <w:rsid w:val="00695f56"/>
    <w:rPr/>
  </w:style>
  <w:style w:type="character" w:styleId="Contents3" w:customStyle="1">
    <w:name w:val="Contents 3"/>
    <w:qFormat/>
    <w:rsid w:val="00695f56"/>
    <w:rPr>
      <w:rFonts w:ascii="XO Thames" w:hAnsi="XO Thames"/>
      <w:sz w:val="28"/>
    </w:rPr>
  </w:style>
  <w:style w:type="character" w:styleId="11" w:customStyle="1">
    <w:name w:val="Текст выноски1"/>
    <w:qFormat/>
    <w:rsid w:val="00695f56"/>
    <w:rPr>
      <w:rFonts w:ascii="Tahoma" w:hAnsi="Tahoma"/>
      <w:sz w:val="16"/>
    </w:rPr>
  </w:style>
  <w:style w:type="character" w:styleId="Heading51" w:customStyle="1">
    <w:name w:val="Heading 51"/>
    <w:qFormat/>
    <w:rsid w:val="00695f56"/>
    <w:rPr>
      <w:rFonts w:ascii="XO Thames" w:hAnsi="XO Thames"/>
      <w:b/>
      <w:sz w:val="22"/>
    </w:rPr>
  </w:style>
  <w:style w:type="character" w:styleId="Heading11" w:customStyle="1">
    <w:name w:val="Heading 11"/>
    <w:qFormat/>
    <w:rsid w:val="00695f56"/>
    <w:rPr>
      <w:rFonts w:ascii="XO Thames" w:hAnsi="XO Thames"/>
      <w:b/>
      <w:sz w:val="32"/>
    </w:rPr>
  </w:style>
  <w:style w:type="character" w:styleId="InternetLink" w:customStyle="1">
    <w:name w:val="Internet Link"/>
    <w:qFormat/>
    <w:rsid w:val="00695f56"/>
    <w:rPr>
      <w:color w:val="0000FF"/>
      <w:u w:val="single"/>
    </w:rPr>
  </w:style>
  <w:style w:type="character" w:styleId="Footnote" w:customStyle="1">
    <w:name w:val="Footnote"/>
    <w:qFormat/>
    <w:rsid w:val="00695f56"/>
    <w:rPr>
      <w:rFonts w:ascii="XO Thames" w:hAnsi="XO Thames"/>
      <w:sz w:val="22"/>
    </w:rPr>
  </w:style>
  <w:style w:type="character" w:styleId="Contents1" w:customStyle="1">
    <w:name w:val="Contents 1"/>
    <w:qFormat/>
    <w:rsid w:val="00695f56"/>
    <w:rPr>
      <w:rFonts w:ascii="XO Thames" w:hAnsi="XO Thames"/>
      <w:b/>
      <w:sz w:val="28"/>
    </w:rPr>
  </w:style>
  <w:style w:type="character" w:styleId="HeaderandFooter" w:customStyle="1">
    <w:name w:val="Header and Footer"/>
    <w:qFormat/>
    <w:rsid w:val="00695f56"/>
    <w:rPr>
      <w:rFonts w:ascii="XO Thames" w:hAnsi="XO Thames"/>
      <w:sz w:val="20"/>
    </w:rPr>
  </w:style>
  <w:style w:type="character" w:styleId="Contents9" w:customStyle="1">
    <w:name w:val="Contents 9"/>
    <w:qFormat/>
    <w:rsid w:val="00695f56"/>
    <w:rPr>
      <w:rFonts w:ascii="XO Thames" w:hAnsi="XO Thames"/>
      <w:sz w:val="28"/>
    </w:rPr>
  </w:style>
  <w:style w:type="character" w:styleId="Contents8" w:customStyle="1">
    <w:name w:val="Contents 8"/>
    <w:qFormat/>
    <w:rsid w:val="00695f56"/>
    <w:rPr>
      <w:rFonts w:ascii="XO Thames" w:hAnsi="XO Thames"/>
      <w:sz w:val="28"/>
    </w:rPr>
  </w:style>
  <w:style w:type="character" w:styleId="Contents5" w:customStyle="1">
    <w:name w:val="Contents 5"/>
    <w:qFormat/>
    <w:rsid w:val="00695f56"/>
    <w:rPr>
      <w:rFonts w:ascii="XO Thames" w:hAnsi="XO Thames"/>
      <w:sz w:val="28"/>
    </w:rPr>
  </w:style>
  <w:style w:type="character" w:styleId="21" w:customStyle="1">
    <w:name w:val="Основной текст 21"/>
    <w:qFormat/>
    <w:rsid w:val="00695f56"/>
    <w:rPr>
      <w:b/>
      <w:sz w:val="28"/>
    </w:rPr>
  </w:style>
  <w:style w:type="character" w:styleId="Subtitle1" w:customStyle="1">
    <w:name w:val="Subtitle1"/>
    <w:qFormat/>
    <w:rsid w:val="00695f56"/>
    <w:rPr>
      <w:rFonts w:ascii="XO Thames" w:hAnsi="XO Thames"/>
      <w:i/>
      <w:sz w:val="24"/>
    </w:rPr>
  </w:style>
  <w:style w:type="character" w:styleId="FollowedHyperlink">
    <w:name w:val="FollowedHyperlink"/>
    <w:rsid w:val="00695f56"/>
    <w:rPr>
      <w:color w:themeColor="followedHyperlink" w:val="800080"/>
      <w:u w:val="single"/>
    </w:rPr>
  </w:style>
  <w:style w:type="character" w:styleId="Title1" w:customStyle="1">
    <w:name w:val="Title1"/>
    <w:qFormat/>
    <w:rsid w:val="00695f56"/>
    <w:rPr>
      <w:rFonts w:ascii="XO Thames" w:hAnsi="XO Thames"/>
      <w:b/>
      <w:caps/>
      <w:sz w:val="40"/>
    </w:rPr>
  </w:style>
  <w:style w:type="character" w:styleId="Heading41" w:customStyle="1">
    <w:name w:val="Heading 41"/>
    <w:qFormat/>
    <w:rsid w:val="00695f56"/>
    <w:rPr>
      <w:rFonts w:ascii="XO Thames" w:hAnsi="XO Thames"/>
      <w:b/>
      <w:sz w:val="24"/>
    </w:rPr>
  </w:style>
  <w:style w:type="character" w:styleId="Heading21" w:customStyle="1">
    <w:name w:val="Heading 21"/>
    <w:qFormat/>
    <w:rsid w:val="00695f56"/>
    <w:rPr>
      <w:rFonts w:ascii="XO Thames" w:hAnsi="XO Thames"/>
      <w:b/>
      <w:sz w:val="28"/>
    </w:rPr>
  </w:style>
  <w:style w:type="character" w:styleId="InternetLink1" w:customStyle="1">
    <w:name w:val="Internet Link1"/>
    <w:qFormat/>
    <w:rsid w:val="00695f56"/>
    <w:rPr>
      <w:color w:val="000080"/>
      <w:u w:val="single"/>
    </w:rPr>
  </w:style>
  <w:style w:type="character" w:styleId="InternetLink2" w:customStyle="1">
    <w:name w:val="Internet Link2"/>
    <w:qFormat/>
    <w:rsid w:val="00695f56"/>
    <w:rPr>
      <w:color w:val="000080"/>
      <w:u w:val="single"/>
    </w:rPr>
  </w:style>
  <w:style w:type="character" w:styleId="InternetLink3" w:customStyle="1">
    <w:name w:val="Internet Link3"/>
    <w:qFormat/>
    <w:rsid w:val="00695f56"/>
    <w:rPr>
      <w:color w:val="000080"/>
      <w:u w:val="single"/>
    </w:rPr>
  </w:style>
  <w:style w:type="character" w:styleId="InternetLink4" w:customStyle="1">
    <w:name w:val="Internet Link4"/>
    <w:qFormat/>
    <w:rsid w:val="00695f56"/>
    <w:rPr>
      <w:color w:val="000080"/>
      <w:u w:val="single"/>
    </w:rPr>
  </w:style>
  <w:style w:type="character" w:styleId="InternetLink5" w:customStyle="1">
    <w:name w:val="Internet Link5"/>
    <w:qFormat/>
    <w:rsid w:val="00695f56"/>
    <w:rPr>
      <w:color w:val="000080"/>
      <w:u w:val="single"/>
    </w:rPr>
  </w:style>
  <w:style w:type="character" w:styleId="InternetLink6" w:customStyle="1">
    <w:name w:val="Internet Link6"/>
    <w:qFormat/>
    <w:rsid w:val="00695f56"/>
    <w:rPr>
      <w:color w:val="000080"/>
      <w:u w:val="single"/>
    </w:rPr>
  </w:style>
  <w:style w:type="character" w:styleId="InternetLink7" w:customStyle="1">
    <w:name w:val="Internet Link7"/>
    <w:qFormat/>
    <w:rsid w:val="00695f56"/>
    <w:rPr>
      <w:color w:val="000080"/>
      <w:u w:val="single"/>
    </w:rPr>
  </w:style>
  <w:style w:type="character" w:styleId="InternetLink8" w:customStyle="1">
    <w:name w:val="Internet Link8"/>
    <w:qFormat/>
    <w:rsid w:val="00695f56"/>
    <w:rPr>
      <w:color w:val="000080"/>
      <w:u w:val="single"/>
    </w:rPr>
  </w:style>
  <w:style w:type="character" w:styleId="InternetLink9" w:customStyle="1">
    <w:name w:val="Internet Link9"/>
    <w:qFormat/>
    <w:rsid w:val="00695f56"/>
    <w:rPr>
      <w:color w:val="000080"/>
      <w:u w:val="single"/>
    </w:rPr>
  </w:style>
  <w:style w:type="character" w:styleId="InternetLink10" w:customStyle="1">
    <w:name w:val="Internet Link10"/>
    <w:qFormat/>
    <w:rsid w:val="00695f56"/>
    <w:rPr>
      <w:color w:val="000080"/>
      <w:u w:val="single"/>
    </w:rPr>
  </w:style>
  <w:style w:type="character" w:styleId="InternetLink11" w:customStyle="1">
    <w:name w:val="Internet Link11"/>
    <w:qFormat/>
    <w:rsid w:val="00695f56"/>
    <w:rPr>
      <w:color w:val="000080"/>
      <w:u w:val="single"/>
    </w:rPr>
  </w:style>
  <w:style w:type="character" w:styleId="InternetLink12" w:customStyle="1">
    <w:name w:val="Internet Link12"/>
    <w:qFormat/>
    <w:rsid w:val="00695f56"/>
    <w:rPr>
      <w:color w:val="000080"/>
      <w:u w:val="single"/>
    </w:rPr>
  </w:style>
  <w:style w:type="character" w:styleId="InternetLink13" w:customStyle="1">
    <w:name w:val="Internet Link13"/>
    <w:qFormat/>
    <w:rsid w:val="00695f56"/>
    <w:rPr>
      <w:color w:val="000080"/>
      <w:u w:val="single"/>
    </w:rPr>
  </w:style>
  <w:style w:type="character" w:styleId="InternetLink14" w:customStyle="1">
    <w:name w:val="Internet Link14"/>
    <w:qFormat/>
    <w:rsid w:val="00695f56"/>
    <w:rPr>
      <w:color w:val="000080"/>
      <w:u w:val="single"/>
    </w:rPr>
  </w:style>
  <w:style w:type="character" w:styleId="InternetLink15">
    <w:name w:val="Internet Link15"/>
    <w:qFormat/>
    <w:rsid w:val="00695f56"/>
    <w:rPr>
      <w:color w:val="000080"/>
      <w:u w:val="single"/>
    </w:rPr>
  </w:style>
  <w:style w:type="character" w:styleId="InternetLink16">
    <w:name w:val="Internet Link16"/>
    <w:qFormat/>
    <w:rPr>
      <w:color w:val="000080"/>
      <w:u w:val="single"/>
    </w:rPr>
  </w:style>
  <w:style w:type="character" w:styleId="InternetLink17">
    <w:name w:val="Internet Link17"/>
    <w:qFormat/>
    <w:rPr>
      <w:color w:val="000080"/>
      <w:u w:val="single"/>
    </w:rPr>
  </w:style>
  <w:style w:type="character" w:styleId="InternetLink18">
    <w:name w:val="Internet Link18"/>
    <w:qFormat/>
    <w:rPr>
      <w:color w:val="000080"/>
      <w:u w:val="single"/>
    </w:rPr>
  </w:style>
  <w:style w:type="character" w:styleId="InternetLink19">
    <w:name w:val="Internet Link19"/>
    <w:qFormat/>
    <w:rPr>
      <w:color w:val="000080"/>
      <w:u w:val="single"/>
    </w:rPr>
  </w:style>
  <w:style w:type="character" w:styleId="InternetLink20">
    <w:name w:val="Internet Link20"/>
    <w:qFormat/>
    <w:rPr>
      <w:color w:val="000080"/>
      <w:u w:val="single"/>
    </w:rPr>
  </w:style>
  <w:style w:type="character" w:styleId="InternetLink21">
    <w:name w:val="Internet Link21"/>
    <w:qFormat/>
    <w:rPr>
      <w:color w:val="000080"/>
      <w:u w:val="single"/>
    </w:rPr>
  </w:style>
  <w:style w:type="character" w:styleId="InternetLink22">
    <w:name w:val="Internet Link22"/>
    <w:qFormat/>
    <w:rPr>
      <w:color w:val="000080"/>
      <w:u w:val="single"/>
    </w:rPr>
  </w:style>
  <w:style w:type="character" w:styleId="InternetLink23">
    <w:name w:val="Internet Link23"/>
    <w:qFormat/>
    <w:rPr>
      <w:color w:val="000080"/>
      <w:u w:val="single"/>
    </w:rPr>
  </w:style>
  <w:style w:type="character" w:styleId="InternetLink24">
    <w:name w:val="Internet Link24"/>
    <w:qFormat/>
    <w:rPr>
      <w:color w:val="000080"/>
      <w:u w:val="single"/>
    </w:rPr>
  </w:style>
  <w:style w:type="character" w:styleId="InternetLink25">
    <w:name w:val="Internet Link25"/>
    <w:qFormat/>
    <w:rPr>
      <w:color w:val="000080"/>
      <w:u w:val="single"/>
    </w:rPr>
  </w:style>
  <w:style w:type="character" w:styleId="InternetLink26">
    <w:name w:val="Internet Link26"/>
    <w:qFormat/>
    <w:rPr>
      <w:color w:val="000080"/>
      <w:u w:val="single"/>
    </w:rPr>
  </w:style>
  <w:style w:type="character" w:styleId="InternetLink27">
    <w:name w:val="Internet Link27"/>
    <w:qFormat/>
    <w:rPr>
      <w:color w:val="000080"/>
      <w:u w:val="single"/>
    </w:rPr>
  </w:style>
  <w:style w:type="character" w:styleId="InternetLink28">
    <w:name w:val="Internet Link28"/>
    <w:qFormat/>
    <w:rPr>
      <w:color w:val="000080"/>
      <w:u w:val="single"/>
    </w:rPr>
  </w:style>
  <w:style w:type="character" w:styleId="InternetLink29">
    <w:name w:val="Internet Link29"/>
    <w:qFormat/>
    <w:rPr>
      <w:color w:val="000080"/>
      <w:u w:val="single"/>
    </w:rPr>
  </w:style>
  <w:style w:type="character" w:styleId="InternetLink30">
    <w:name w:val="Internet Link30"/>
    <w:qFormat/>
    <w:rPr>
      <w:color w:val="000080"/>
      <w:u w:val="single"/>
    </w:rPr>
  </w:style>
  <w:style w:type="character" w:styleId="Hyperlink">
    <w:name w:val="Hyperlink"/>
    <w:rPr>
      <w:color w:val="000080"/>
      <w:u w:val="single"/>
    </w:rPr>
  </w:style>
  <w:style w:type="paragraph" w:styleId="Style7" w:customStyle="1">
    <w:name w:val="Заголовок"/>
    <w:basedOn w:val="Normal"/>
    <w:next w:val="BodyText"/>
    <w:qFormat/>
    <w:rsid w:val="00695f56"/>
    <w:pPr>
      <w:keepNext w:val="true"/>
      <w:spacing w:before="240" w:after="120"/>
    </w:pPr>
    <w:rPr>
      <w:rFonts w:ascii="Liberation Sans" w:hAnsi="Liberation Sans" w:eastAsia="Tahoma" w:cs="Droid Sans"/>
      <w:sz w:val="28"/>
      <w:szCs w:val="28"/>
    </w:rPr>
  </w:style>
  <w:style w:type="paragraph" w:styleId="BodyText">
    <w:name w:val="Body Text"/>
    <w:basedOn w:val="Normal"/>
    <w:rsid w:val="00695f56"/>
    <w:pPr>
      <w:spacing w:lineRule="auto" w:line="276" w:before="0" w:after="140"/>
    </w:pPr>
    <w:rPr/>
  </w:style>
  <w:style w:type="paragraph" w:styleId="List">
    <w:name w:val="List"/>
    <w:basedOn w:val="BodyText"/>
    <w:rsid w:val="00695f56"/>
    <w:pPr/>
    <w:rPr>
      <w:rFonts w:cs="Droid Sans"/>
    </w:rPr>
  </w:style>
  <w:style w:type="paragraph" w:styleId="Caption" w:customStyle="1">
    <w:name w:val="caption"/>
    <w:basedOn w:val="Normal"/>
    <w:uiPriority w:val="35"/>
    <w:semiHidden/>
    <w:unhideWhenUsed/>
    <w:qFormat/>
    <w:rsid w:val="00695f56"/>
    <w:pPr>
      <w:spacing w:lineRule="auto" w:line="276"/>
    </w:pPr>
    <w:rPr>
      <w:b/>
      <w:bCs/>
      <w:color w:themeColor="accent1" w:val="4F81BD"/>
      <w:sz w:val="18"/>
      <w:szCs w:val="18"/>
    </w:rPr>
  </w:style>
  <w:style w:type="paragraph" w:styleId="Style8">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IndexHeading" w:customStyle="1">
    <w:name w:val="index heading"/>
    <w:basedOn w:val="Style7"/>
    <w:rsid w:val="00695f56"/>
    <w:pPr/>
    <w:rPr/>
  </w:style>
  <w:style w:type="paragraph" w:styleId="NoSpacing">
    <w:name w:val="No Spacing"/>
    <w:uiPriority w:val="1"/>
    <w:qFormat/>
    <w:rsid w:val="00695f56"/>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zh-CN" w:bidi="hi-IN"/>
    </w:rPr>
  </w:style>
  <w:style w:type="paragraph" w:styleId="Quote">
    <w:name w:val="Quote"/>
    <w:basedOn w:val="Normal"/>
    <w:uiPriority w:val="29"/>
    <w:qFormat/>
    <w:rsid w:val="00695f56"/>
    <w:pPr>
      <w:ind w:left="720" w:right="720"/>
    </w:pPr>
    <w:rPr>
      <w:i/>
    </w:rPr>
  </w:style>
  <w:style w:type="paragraph" w:styleId="IntenseQuote">
    <w:name w:val="Intense Quote"/>
    <w:basedOn w:val="Normal"/>
    <w:uiPriority w:val="30"/>
    <w:qFormat/>
    <w:rsid w:val="00695f56"/>
    <w:pPr>
      <w:pBdr>
        <w:top w:val="single" w:sz="4" w:space="5" w:color="FFFFFF"/>
        <w:left w:val="single" w:sz="4" w:space="10" w:color="FFFFFF"/>
        <w:bottom w:val="single" w:sz="4" w:space="5" w:color="FFFFFF"/>
        <w:right w:val="single" w:sz="4" w:space="10" w:color="FFFFFF"/>
      </w:pBdr>
      <w:shd w:val="clear" w:color="auto" w:fill="F2F2F2"/>
      <w:spacing w:before="0" w:after="200"/>
      <w:ind w:left="720" w:right="720"/>
    </w:pPr>
    <w:rPr>
      <w:i/>
    </w:rPr>
  </w:style>
  <w:style w:type="paragraph" w:styleId="FootnoteText" w:customStyle="1">
    <w:name w:val="footnote text"/>
    <w:basedOn w:val="Normal"/>
    <w:uiPriority w:val="99"/>
    <w:semiHidden/>
    <w:unhideWhenUsed/>
    <w:rsid w:val="00695f56"/>
    <w:pPr>
      <w:spacing w:before="0" w:after="40"/>
    </w:pPr>
    <w:rPr>
      <w:sz w:val="18"/>
    </w:rPr>
  </w:style>
  <w:style w:type="paragraph" w:styleId="EndnoteText" w:customStyle="1">
    <w:name w:val="endnote text"/>
    <w:basedOn w:val="Normal"/>
    <w:uiPriority w:val="99"/>
    <w:semiHidden/>
    <w:unhideWhenUsed/>
    <w:rsid w:val="00695f56"/>
    <w:pPr/>
    <w:rPr>
      <w:sz w:val="20"/>
    </w:rPr>
  </w:style>
  <w:style w:type="paragraph" w:styleId="TOCHeading">
    <w:name w:val="TOC Heading"/>
    <w:uiPriority w:val="39"/>
    <w:unhideWhenUsed/>
    <w:qFormat/>
    <w:rsid w:val="00695f56"/>
    <w:pPr>
      <w:widowControl/>
      <w:suppressAutoHyphens w:val="true"/>
      <w:bidi w:val="0"/>
      <w:spacing w:lineRule="auto" w:line="276" w:before="0" w:after="200"/>
      <w:jc w:val="left"/>
    </w:pPr>
    <w:rPr>
      <w:rFonts w:ascii="Calibri" w:hAnsi="Calibri" w:eastAsia="Times New Roman" w:cs="Times New Roman" w:asciiTheme="minorHAnsi" w:hAnsiTheme="minorHAnsi"/>
      <w:color w:val="000000"/>
      <w:kern w:val="0"/>
      <w:sz w:val="22"/>
      <w:szCs w:val="20"/>
      <w:lang w:val="ru-RU" w:eastAsia="zh-CN" w:bidi="hi-IN"/>
    </w:rPr>
  </w:style>
  <w:style w:type="paragraph" w:styleId="TableofFigures" w:customStyle="1">
    <w:name w:val="table of figures"/>
    <w:basedOn w:val="Normal"/>
    <w:uiPriority w:val="99"/>
    <w:unhideWhenUsed/>
    <w:rsid w:val="00695f56"/>
    <w:pPr/>
    <w:rPr/>
  </w:style>
  <w:style w:type="paragraph" w:styleId="TOC2" w:customStyle="1">
    <w:name w:val="toc 2"/>
    <w:uiPriority w:val="39"/>
    <w:rsid w:val="00695f56"/>
    <w:pPr>
      <w:widowControl/>
      <w:suppressAutoHyphens w:val="true"/>
      <w:bidi w:val="0"/>
      <w:spacing w:lineRule="auto" w:line="276" w:before="0" w:after="200"/>
      <w:ind w:left="200"/>
      <w:jc w:val="left"/>
    </w:pPr>
    <w:rPr>
      <w:rFonts w:ascii="XO Thames" w:hAnsi="XO Thames" w:eastAsia="Times New Roman" w:cs="Times New Roman"/>
      <w:color w:val="000000"/>
      <w:kern w:val="0"/>
      <w:sz w:val="28"/>
      <w:szCs w:val="20"/>
      <w:lang w:val="ru-RU" w:eastAsia="zh-CN" w:bidi="hi-IN"/>
    </w:rPr>
  </w:style>
  <w:style w:type="paragraph" w:styleId="TOC4" w:customStyle="1">
    <w:name w:val="toc 4"/>
    <w:uiPriority w:val="39"/>
    <w:rsid w:val="00695f56"/>
    <w:pPr>
      <w:widowControl/>
      <w:suppressAutoHyphens w:val="true"/>
      <w:bidi w:val="0"/>
      <w:spacing w:lineRule="auto" w:line="276" w:before="0" w:after="200"/>
      <w:ind w:left="600"/>
      <w:jc w:val="left"/>
    </w:pPr>
    <w:rPr>
      <w:rFonts w:ascii="XO Thames" w:hAnsi="XO Thames" w:eastAsia="Times New Roman" w:cs="Times New Roman"/>
      <w:color w:val="000000"/>
      <w:kern w:val="0"/>
      <w:sz w:val="28"/>
      <w:szCs w:val="20"/>
      <w:lang w:val="ru-RU" w:eastAsia="zh-CN" w:bidi="hi-IN"/>
    </w:rPr>
  </w:style>
  <w:style w:type="paragraph" w:styleId="TOC6" w:customStyle="1">
    <w:name w:val="toc 6"/>
    <w:uiPriority w:val="39"/>
    <w:rsid w:val="00695f56"/>
    <w:pPr>
      <w:widowControl/>
      <w:suppressAutoHyphens w:val="true"/>
      <w:bidi w:val="0"/>
      <w:spacing w:lineRule="auto" w:line="276" w:before="0" w:after="200"/>
      <w:ind w:left="1000"/>
      <w:jc w:val="left"/>
    </w:pPr>
    <w:rPr>
      <w:rFonts w:ascii="XO Thames" w:hAnsi="XO Thames" w:eastAsia="Times New Roman" w:cs="Times New Roman"/>
      <w:color w:val="000000"/>
      <w:kern w:val="0"/>
      <w:sz w:val="28"/>
      <w:szCs w:val="20"/>
      <w:lang w:val="ru-RU" w:eastAsia="zh-CN" w:bidi="hi-IN"/>
    </w:rPr>
  </w:style>
  <w:style w:type="paragraph" w:styleId="TOC7" w:customStyle="1">
    <w:name w:val="toc 7"/>
    <w:uiPriority w:val="39"/>
    <w:rsid w:val="00695f56"/>
    <w:pPr>
      <w:widowControl/>
      <w:suppressAutoHyphens w:val="true"/>
      <w:bidi w:val="0"/>
      <w:spacing w:lineRule="auto" w:line="276" w:before="0" w:after="200"/>
      <w:ind w:left="1200"/>
      <w:jc w:val="left"/>
    </w:pPr>
    <w:rPr>
      <w:rFonts w:ascii="XO Thames" w:hAnsi="XO Thames" w:eastAsia="Times New Roman" w:cs="Times New Roman"/>
      <w:color w:val="000000"/>
      <w:kern w:val="0"/>
      <w:sz w:val="28"/>
      <w:szCs w:val="20"/>
      <w:lang w:val="ru-RU" w:eastAsia="zh-CN" w:bidi="hi-IN"/>
    </w:rPr>
  </w:style>
  <w:style w:type="paragraph" w:styleId="Endnote1" w:customStyle="1">
    <w:name w:val="Endnote1"/>
    <w:qFormat/>
    <w:rsid w:val="00695f56"/>
    <w:pPr>
      <w:widowControl/>
      <w:suppressAutoHyphens w:val="true"/>
      <w:bidi w:val="0"/>
      <w:spacing w:lineRule="auto" w:line="276" w:before="0" w:after="200"/>
      <w:ind w:firstLine="851"/>
      <w:jc w:val="both"/>
    </w:pPr>
    <w:rPr>
      <w:rFonts w:ascii="XO Thames" w:hAnsi="XO Thames" w:eastAsia="Times New Roman" w:cs="Times New Roman"/>
      <w:color w:val="000000"/>
      <w:kern w:val="0"/>
      <w:sz w:val="22"/>
      <w:szCs w:val="20"/>
      <w:lang w:val="ru-RU" w:eastAsia="zh-CN" w:bidi="hi-IN"/>
    </w:rPr>
  </w:style>
  <w:style w:type="paragraph" w:styleId="HeaderandFooter1" w:customStyle="1">
    <w:name w:val="Header and Footer1"/>
    <w:qFormat/>
    <w:rsid w:val="00695f56"/>
    <w:pPr>
      <w:widowControl/>
      <w:suppressAutoHyphens w:val="true"/>
      <w:bidi w:val="0"/>
      <w:spacing w:before="0" w:after="200"/>
      <w:jc w:val="both"/>
    </w:pPr>
    <w:rPr>
      <w:rFonts w:ascii="XO Thames" w:hAnsi="XO Thames" w:eastAsia="Times New Roman" w:cs="Times New Roman"/>
      <w:color w:val="000000"/>
      <w:kern w:val="0"/>
      <w:sz w:val="20"/>
      <w:szCs w:val="20"/>
      <w:lang w:val="ru-RU" w:eastAsia="zh-CN" w:bidi="hi-IN"/>
    </w:rPr>
  </w:style>
  <w:style w:type="paragraph" w:styleId="HeaderandFooter2" w:customStyle="1">
    <w:name w:val="Header and Footer2"/>
    <w:basedOn w:val="Normal"/>
    <w:qFormat/>
    <w:rsid w:val="00695f56"/>
    <w:pPr/>
    <w:rPr/>
  </w:style>
  <w:style w:type="paragraph" w:styleId="HeaderandFooter3" w:customStyle="1">
    <w:name w:val="Header and Footer3"/>
    <w:basedOn w:val="Normal"/>
    <w:qFormat/>
    <w:rsid w:val="00695f56"/>
    <w:pPr/>
    <w:rPr/>
  </w:style>
  <w:style w:type="paragraph" w:styleId="HeaderandFooter4" w:customStyle="1">
    <w:name w:val="Header and Footer4"/>
    <w:basedOn w:val="Normal"/>
    <w:qFormat/>
    <w:rsid w:val="00695f56"/>
    <w:pPr/>
    <w:rPr/>
  </w:style>
  <w:style w:type="paragraph" w:styleId="HeaderandFooter5" w:customStyle="1">
    <w:name w:val="Header and Footer5"/>
    <w:basedOn w:val="Normal"/>
    <w:qFormat/>
    <w:rsid w:val="00695f56"/>
    <w:pPr/>
    <w:rPr/>
  </w:style>
  <w:style w:type="paragraph" w:styleId="HeaderandFooter6" w:customStyle="1">
    <w:name w:val="Header and Footer6"/>
    <w:basedOn w:val="Normal"/>
    <w:qFormat/>
    <w:rsid w:val="00695f56"/>
    <w:pPr/>
    <w:rPr/>
  </w:style>
  <w:style w:type="paragraph" w:styleId="HeaderandFooter7" w:customStyle="1">
    <w:name w:val="Header and Footer7"/>
    <w:basedOn w:val="Normal"/>
    <w:qFormat/>
    <w:rsid w:val="00695f56"/>
    <w:pPr/>
    <w:rPr/>
  </w:style>
  <w:style w:type="paragraph" w:styleId="HeaderandFooter8" w:customStyle="1">
    <w:name w:val="Header and Footer8"/>
    <w:basedOn w:val="Normal"/>
    <w:qFormat/>
    <w:rsid w:val="00695f56"/>
    <w:pPr/>
    <w:rPr/>
  </w:style>
  <w:style w:type="paragraph" w:styleId="HeaderandFooter9" w:customStyle="1">
    <w:name w:val="Header and Footer9"/>
    <w:basedOn w:val="Normal"/>
    <w:qFormat/>
    <w:rsid w:val="00695f56"/>
    <w:pPr/>
    <w:rPr/>
  </w:style>
  <w:style w:type="paragraph" w:styleId="HeaderandFooter10" w:customStyle="1">
    <w:name w:val="Header and Footer10"/>
    <w:basedOn w:val="Normal"/>
    <w:qFormat/>
    <w:rsid w:val="00695f56"/>
    <w:pPr/>
    <w:rPr/>
  </w:style>
  <w:style w:type="paragraph" w:styleId="HeaderandFooter11" w:customStyle="1">
    <w:name w:val="Header and Footer11"/>
    <w:basedOn w:val="Normal"/>
    <w:qFormat/>
    <w:rsid w:val="00695f56"/>
    <w:pPr/>
    <w:rPr/>
  </w:style>
  <w:style w:type="paragraph" w:styleId="HeaderandFooter12" w:customStyle="1">
    <w:name w:val="Header and Footer12"/>
    <w:basedOn w:val="Normal"/>
    <w:qFormat/>
    <w:rsid w:val="00695f56"/>
    <w:pPr/>
    <w:rPr/>
  </w:style>
  <w:style w:type="paragraph" w:styleId="HeaderandFooter13" w:customStyle="1">
    <w:name w:val="Header and Footer13"/>
    <w:basedOn w:val="Normal"/>
    <w:qFormat/>
    <w:rsid w:val="00695f56"/>
    <w:pPr/>
    <w:rPr/>
  </w:style>
  <w:style w:type="paragraph" w:styleId="HeaderandFooter14" w:customStyle="1">
    <w:name w:val="Header and Footer14"/>
    <w:basedOn w:val="Normal"/>
    <w:qFormat/>
    <w:rsid w:val="00695f56"/>
    <w:pPr/>
    <w:rPr/>
  </w:style>
  <w:style w:type="paragraph" w:styleId="HeaderandFooter15" w:customStyle="1">
    <w:name w:val="Header and Footer15"/>
    <w:basedOn w:val="Normal"/>
    <w:qFormat/>
    <w:rsid w:val="00695f56"/>
    <w:pPr/>
    <w:rPr/>
  </w:style>
  <w:style w:type="paragraph" w:styleId="HeaderandFooter16">
    <w:name w:val="Header and Footer16"/>
    <w:basedOn w:val="Normal"/>
    <w:qFormat/>
    <w:pPr/>
    <w:rPr/>
  </w:style>
  <w:style w:type="paragraph" w:styleId="HeaderandFooter17">
    <w:name w:val="Header and Footer17"/>
    <w:basedOn w:val="Normal"/>
    <w:qFormat/>
    <w:pPr/>
    <w:rPr/>
  </w:style>
  <w:style w:type="paragraph" w:styleId="HeaderandFooter18">
    <w:name w:val="Header and Footer18"/>
    <w:basedOn w:val="Normal"/>
    <w:qFormat/>
    <w:pPr/>
    <w:rPr/>
  </w:style>
  <w:style w:type="paragraph" w:styleId="HeaderandFooter19">
    <w:name w:val="Header and Footer19"/>
    <w:basedOn w:val="Normal"/>
    <w:qFormat/>
    <w:pPr/>
    <w:rPr/>
  </w:style>
  <w:style w:type="paragraph" w:styleId="HeaderandFooter20">
    <w:name w:val="Header and Footer20"/>
    <w:basedOn w:val="Normal"/>
    <w:qFormat/>
    <w:pPr/>
    <w:rPr/>
  </w:style>
  <w:style w:type="paragraph" w:styleId="HeaderandFooter21">
    <w:name w:val="Header and Footer21"/>
    <w:basedOn w:val="Normal"/>
    <w:qFormat/>
    <w:pPr/>
    <w:rPr/>
  </w:style>
  <w:style w:type="paragraph" w:styleId="HeaderandFooter22">
    <w:name w:val="Header and Footer22"/>
    <w:basedOn w:val="Normal"/>
    <w:qFormat/>
    <w:pPr/>
    <w:rPr/>
  </w:style>
  <w:style w:type="paragraph" w:styleId="HeaderandFooter23">
    <w:name w:val="Header and Footer23"/>
    <w:basedOn w:val="Normal"/>
    <w:qFormat/>
    <w:pPr/>
    <w:rPr/>
  </w:style>
  <w:style w:type="paragraph" w:styleId="HeaderandFooter24">
    <w:name w:val="Header and Footer24"/>
    <w:basedOn w:val="Normal"/>
    <w:qFormat/>
    <w:pPr/>
    <w:rPr/>
  </w:style>
  <w:style w:type="paragraph" w:styleId="HeaderandFooter25">
    <w:name w:val="Header and Footer25"/>
    <w:basedOn w:val="Normal"/>
    <w:qFormat/>
    <w:pPr/>
    <w:rPr/>
  </w:style>
  <w:style w:type="paragraph" w:styleId="HeaderandFooter26">
    <w:name w:val="Header and Footer26"/>
    <w:basedOn w:val="Normal"/>
    <w:qFormat/>
    <w:pPr/>
    <w:rPr/>
  </w:style>
  <w:style w:type="paragraph" w:styleId="HeaderandFooter27">
    <w:name w:val="Header and Footer27"/>
    <w:basedOn w:val="Normal"/>
    <w:qFormat/>
    <w:pPr/>
    <w:rPr/>
  </w:style>
  <w:style w:type="paragraph" w:styleId="HeaderandFooter28">
    <w:name w:val="Header and Footer28"/>
    <w:basedOn w:val="Normal"/>
    <w:qFormat/>
    <w:pPr/>
    <w:rPr/>
  </w:style>
  <w:style w:type="paragraph" w:styleId="HeaderandFooter29">
    <w:name w:val="Header and Footer29"/>
    <w:basedOn w:val="Normal"/>
    <w:qFormat/>
    <w:pPr/>
    <w:rPr/>
  </w:style>
  <w:style w:type="paragraph" w:styleId="HeaderandFooter30">
    <w:name w:val="Header and Footer30"/>
    <w:basedOn w:val="Normal"/>
    <w:qFormat/>
    <w:pPr/>
    <w:rPr/>
  </w:style>
  <w:style w:type="paragraph" w:styleId="HeaderandFooter31">
    <w:name w:val="Header and Footer31"/>
    <w:basedOn w:val="Normal"/>
    <w:qFormat/>
    <w:pPr/>
    <w:rPr/>
  </w:style>
  <w:style w:type="paragraph" w:styleId="user2">
    <w:name w:val="Колонтитулы (user)"/>
    <w:basedOn w:val="Normal"/>
    <w:qFormat/>
    <w:pPr/>
    <w:rPr/>
  </w:style>
  <w:style w:type="paragraph" w:styleId="Style9">
    <w:name w:val="Колонтитулы"/>
    <w:basedOn w:val="Normal"/>
    <w:qFormat/>
    <w:pPr/>
    <w:rPr/>
  </w:style>
  <w:style w:type="paragraph" w:styleId="Footer" w:customStyle="1">
    <w:name w:val="footer"/>
    <w:basedOn w:val="Normal"/>
    <w:rsid w:val="00695f56"/>
    <w:pPr>
      <w:tabs>
        <w:tab w:val="clear" w:pos="708"/>
        <w:tab w:val="center" w:pos="4677" w:leader="none"/>
        <w:tab w:val="right" w:pos="9355" w:leader="none"/>
      </w:tabs>
    </w:pPr>
    <w:rPr/>
  </w:style>
  <w:style w:type="paragraph" w:styleId="ListParagraph1" w:customStyle="1">
    <w:name w:val="List Paragraph1"/>
    <w:basedOn w:val="Normal"/>
    <w:qFormat/>
    <w:rsid w:val="00695f56"/>
    <w:pPr>
      <w:spacing w:lineRule="auto" w:line="276" w:before="0" w:after="200"/>
      <w:ind w:left="720"/>
      <w:contextualSpacing/>
    </w:pPr>
    <w:rPr>
      <w:rFonts w:ascii="Calibri" w:hAnsi="Calibri"/>
      <w:sz w:val="22"/>
    </w:rPr>
  </w:style>
  <w:style w:type="paragraph" w:styleId="Header" w:customStyle="1">
    <w:name w:val="header"/>
    <w:basedOn w:val="Normal"/>
    <w:rsid w:val="00695f56"/>
    <w:pPr>
      <w:tabs>
        <w:tab w:val="clear" w:pos="708"/>
        <w:tab w:val="center" w:pos="4677" w:leader="none"/>
        <w:tab w:val="right" w:pos="9355" w:leader="none"/>
      </w:tabs>
    </w:pPr>
    <w:rPr/>
  </w:style>
  <w:style w:type="paragraph" w:styleId="TOC3" w:customStyle="1">
    <w:name w:val="toc 3"/>
    <w:uiPriority w:val="39"/>
    <w:rsid w:val="00695f56"/>
    <w:pPr>
      <w:widowControl/>
      <w:suppressAutoHyphens w:val="true"/>
      <w:bidi w:val="0"/>
      <w:spacing w:lineRule="auto" w:line="276" w:before="0" w:after="200"/>
      <w:ind w:left="400"/>
      <w:jc w:val="left"/>
    </w:pPr>
    <w:rPr>
      <w:rFonts w:ascii="XO Thames" w:hAnsi="XO Thames" w:eastAsia="Times New Roman" w:cs="Times New Roman"/>
      <w:color w:val="000000"/>
      <w:kern w:val="0"/>
      <w:sz w:val="28"/>
      <w:szCs w:val="20"/>
      <w:lang w:val="ru-RU" w:eastAsia="zh-CN" w:bidi="hi-IN"/>
    </w:rPr>
  </w:style>
  <w:style w:type="paragraph" w:styleId="BalloonText1" w:customStyle="1">
    <w:name w:val="Balloon Text1"/>
    <w:basedOn w:val="Normal"/>
    <w:qFormat/>
    <w:rsid w:val="00695f56"/>
    <w:pPr/>
    <w:rPr>
      <w:rFonts w:ascii="Tahoma" w:hAnsi="Tahoma"/>
      <w:sz w:val="16"/>
    </w:rPr>
  </w:style>
  <w:style w:type="paragraph" w:styleId="InternetLink111" w:customStyle="1">
    <w:name w:val="Internet Link111"/>
    <w:qFormat/>
    <w:rsid w:val="00695f56"/>
    <w:pPr>
      <w:widowControl/>
      <w:suppressAutoHyphens w:val="true"/>
      <w:bidi w:val="0"/>
      <w:spacing w:lineRule="auto" w:line="276" w:before="0" w:after="200"/>
      <w:jc w:val="left"/>
    </w:pPr>
    <w:rPr>
      <w:rFonts w:ascii="Calibri" w:hAnsi="Calibri" w:eastAsia="Times New Roman" w:cs="Times New Roman"/>
      <w:color w:val="0000FF"/>
      <w:kern w:val="0"/>
      <w:sz w:val="22"/>
      <w:szCs w:val="20"/>
      <w:u w:val="single"/>
      <w:lang w:val="ru-RU" w:eastAsia="zh-CN" w:bidi="hi-IN"/>
    </w:rPr>
  </w:style>
  <w:style w:type="paragraph" w:styleId="Footnote1" w:customStyle="1">
    <w:name w:val="Footnote1"/>
    <w:qFormat/>
    <w:rsid w:val="00695f56"/>
    <w:pPr>
      <w:widowControl/>
      <w:suppressAutoHyphens w:val="true"/>
      <w:bidi w:val="0"/>
      <w:spacing w:lineRule="auto" w:line="276" w:before="0" w:after="200"/>
      <w:ind w:firstLine="851"/>
      <w:jc w:val="both"/>
    </w:pPr>
    <w:rPr>
      <w:rFonts w:ascii="XO Thames" w:hAnsi="XO Thames" w:eastAsia="Times New Roman" w:cs="Times New Roman"/>
      <w:color w:val="000000"/>
      <w:kern w:val="0"/>
      <w:sz w:val="22"/>
      <w:szCs w:val="20"/>
      <w:lang w:val="ru-RU" w:eastAsia="zh-CN" w:bidi="hi-IN"/>
    </w:rPr>
  </w:style>
  <w:style w:type="paragraph" w:styleId="TOC1" w:customStyle="1">
    <w:name w:val="toc 1"/>
    <w:uiPriority w:val="39"/>
    <w:rsid w:val="00695f56"/>
    <w:pPr>
      <w:widowControl/>
      <w:suppressAutoHyphens w:val="true"/>
      <w:bidi w:val="0"/>
      <w:spacing w:lineRule="auto" w:line="276" w:before="0" w:after="200"/>
      <w:jc w:val="left"/>
    </w:pPr>
    <w:rPr>
      <w:rFonts w:ascii="XO Thames" w:hAnsi="XO Thames" w:eastAsia="Times New Roman" w:cs="Times New Roman"/>
      <w:b/>
      <w:color w:val="000000"/>
      <w:kern w:val="0"/>
      <w:sz w:val="28"/>
      <w:szCs w:val="20"/>
      <w:lang w:val="ru-RU" w:eastAsia="zh-CN" w:bidi="hi-IN"/>
    </w:rPr>
  </w:style>
  <w:style w:type="paragraph" w:styleId="TOC9" w:customStyle="1">
    <w:name w:val="toc 9"/>
    <w:uiPriority w:val="39"/>
    <w:rsid w:val="00695f56"/>
    <w:pPr>
      <w:widowControl/>
      <w:suppressAutoHyphens w:val="true"/>
      <w:bidi w:val="0"/>
      <w:spacing w:lineRule="auto" w:line="276" w:before="0" w:after="200"/>
      <w:ind w:left="1600"/>
      <w:jc w:val="left"/>
    </w:pPr>
    <w:rPr>
      <w:rFonts w:ascii="XO Thames" w:hAnsi="XO Thames" w:eastAsia="Times New Roman" w:cs="Times New Roman"/>
      <w:color w:val="000000"/>
      <w:kern w:val="0"/>
      <w:sz w:val="28"/>
      <w:szCs w:val="20"/>
      <w:lang w:val="ru-RU" w:eastAsia="zh-CN" w:bidi="hi-IN"/>
    </w:rPr>
  </w:style>
  <w:style w:type="paragraph" w:styleId="TOC8" w:customStyle="1">
    <w:name w:val="toc 8"/>
    <w:uiPriority w:val="39"/>
    <w:rsid w:val="00695f56"/>
    <w:pPr>
      <w:widowControl/>
      <w:suppressAutoHyphens w:val="true"/>
      <w:bidi w:val="0"/>
      <w:spacing w:lineRule="auto" w:line="276" w:before="0" w:after="200"/>
      <w:ind w:left="1400"/>
      <w:jc w:val="left"/>
    </w:pPr>
    <w:rPr>
      <w:rFonts w:ascii="XO Thames" w:hAnsi="XO Thames" w:eastAsia="Times New Roman" w:cs="Times New Roman"/>
      <w:color w:val="000000"/>
      <w:kern w:val="0"/>
      <w:sz w:val="28"/>
      <w:szCs w:val="20"/>
      <w:lang w:val="ru-RU" w:eastAsia="zh-CN" w:bidi="hi-IN"/>
    </w:rPr>
  </w:style>
  <w:style w:type="paragraph" w:styleId="TOC5" w:customStyle="1">
    <w:name w:val="toc 5"/>
    <w:uiPriority w:val="39"/>
    <w:rsid w:val="00695f56"/>
    <w:pPr>
      <w:widowControl/>
      <w:suppressAutoHyphens w:val="true"/>
      <w:bidi w:val="0"/>
      <w:spacing w:lineRule="auto" w:line="276" w:before="0" w:after="200"/>
      <w:ind w:left="800"/>
      <w:jc w:val="left"/>
    </w:pPr>
    <w:rPr>
      <w:rFonts w:ascii="XO Thames" w:hAnsi="XO Thames" w:eastAsia="Times New Roman" w:cs="Times New Roman"/>
      <w:color w:val="000000"/>
      <w:kern w:val="0"/>
      <w:sz w:val="28"/>
      <w:szCs w:val="20"/>
      <w:lang w:val="ru-RU" w:eastAsia="zh-CN" w:bidi="hi-IN"/>
    </w:rPr>
  </w:style>
  <w:style w:type="paragraph" w:styleId="BodyText21" w:customStyle="1">
    <w:name w:val="Body Text 21"/>
    <w:basedOn w:val="Normal"/>
    <w:qFormat/>
    <w:rsid w:val="00695f56"/>
    <w:pPr>
      <w:jc w:val="center"/>
    </w:pPr>
    <w:rPr>
      <w:b/>
      <w:sz w:val="28"/>
    </w:rPr>
  </w:style>
  <w:style w:type="paragraph" w:styleId="Subtitle">
    <w:name w:val="Subtitle"/>
    <w:uiPriority w:val="11"/>
    <w:qFormat/>
    <w:rsid w:val="00695f56"/>
    <w:pPr>
      <w:widowControl/>
      <w:suppressAutoHyphens w:val="true"/>
      <w:bidi w:val="0"/>
      <w:spacing w:lineRule="auto" w:line="276" w:before="0" w:after="200"/>
      <w:jc w:val="both"/>
    </w:pPr>
    <w:rPr>
      <w:rFonts w:ascii="XO Thames" w:hAnsi="XO Thames" w:eastAsia="Times New Roman" w:cs="Times New Roman"/>
      <w:i/>
      <w:color w:val="000000"/>
      <w:kern w:val="0"/>
      <w:sz w:val="24"/>
      <w:szCs w:val="20"/>
      <w:lang w:val="ru-RU" w:eastAsia="zh-CN" w:bidi="hi-IN"/>
    </w:rPr>
  </w:style>
  <w:style w:type="paragraph" w:styleId="VisitedInternetLink" w:customStyle="1">
    <w:name w:val="Visited Internet Link"/>
    <w:qFormat/>
    <w:rsid w:val="00695f56"/>
    <w:pPr>
      <w:widowControl/>
      <w:suppressAutoHyphens w:val="true"/>
      <w:bidi w:val="0"/>
      <w:spacing w:lineRule="auto" w:line="276" w:before="0" w:after="200"/>
      <w:jc w:val="left"/>
    </w:pPr>
    <w:rPr>
      <w:rFonts w:ascii="Calibri" w:hAnsi="Calibri" w:eastAsia="Times New Roman" w:cs="Times New Roman"/>
      <w:color w:themeColor="followedHyperlink" w:val="800080"/>
      <w:kern w:val="0"/>
      <w:sz w:val="22"/>
      <w:szCs w:val="20"/>
      <w:u w:val="single"/>
      <w:lang w:val="ru-RU" w:eastAsia="zh-CN" w:bidi="hi-IN"/>
    </w:rPr>
  </w:style>
  <w:style w:type="paragraph" w:styleId="DefaultParagraphFont1" w:customStyle="1">
    <w:name w:val="Default Paragraph Font1"/>
    <w:qFormat/>
    <w:rsid w:val="00695f56"/>
    <w:pPr>
      <w:widowControl/>
      <w:suppressAutoHyphens w:val="true"/>
      <w:bidi w:val="0"/>
      <w:spacing w:lineRule="auto" w:line="276" w:before="0" w:after="200"/>
      <w:jc w:val="left"/>
    </w:pPr>
    <w:rPr>
      <w:rFonts w:ascii="Calibri" w:hAnsi="Calibri" w:eastAsia="Times New Roman" w:cs="Times New Roman" w:asciiTheme="minorHAnsi" w:hAnsiTheme="minorHAnsi"/>
      <w:color w:val="000000"/>
      <w:kern w:val="0"/>
      <w:sz w:val="22"/>
      <w:szCs w:val="20"/>
      <w:lang w:val="ru-RU" w:eastAsia="zh-CN" w:bidi="hi-IN"/>
    </w:rPr>
  </w:style>
  <w:style w:type="paragraph" w:styleId="Title">
    <w:name w:val="Title"/>
    <w:uiPriority w:val="10"/>
    <w:qFormat/>
    <w:rsid w:val="00695f56"/>
    <w:pPr>
      <w:widowControl/>
      <w:suppressAutoHyphens w:val="true"/>
      <w:bidi w:val="0"/>
      <w:spacing w:lineRule="auto" w:line="276" w:before="567" w:after="567"/>
      <w:jc w:val="center"/>
    </w:pPr>
    <w:rPr>
      <w:rFonts w:ascii="XO Thames" w:hAnsi="XO Thames" w:eastAsia="Times New Roman" w:cs="Times New Roman"/>
      <w:b/>
      <w:caps/>
      <w:color w:val="000000"/>
      <w:kern w:val="0"/>
      <w:sz w:val="40"/>
      <w:szCs w:val="20"/>
      <w:lang w:val="ru-RU" w:eastAsia="zh-CN" w:bidi="hi-IN"/>
    </w:rPr>
  </w:style>
  <w:style w:type="numbering" w:styleId="Style10" w:customStyle="1">
    <w:name w:val="Без списка"/>
    <w:uiPriority w:val="99"/>
    <w:semiHidden/>
    <w:unhideWhenUsed/>
    <w:qFormat/>
    <w:rsid w:val="00695f56"/>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rts-tender.ru/" TargetMode="External"/><Relationship Id="rId3" Type="http://schemas.openxmlformats.org/officeDocument/2006/relationships/hyperlink" Target="http://www.torgi.gov.ru/" TargetMode="External"/><Relationship Id="rId4" Type="http://schemas.openxmlformats.org/officeDocument/2006/relationships/hyperlink" Target="https://www.rts-tender.ru/" TargetMode="External"/><Relationship Id="rId5" Type="http://schemas.openxmlformats.org/officeDocument/2006/relationships/hyperlink" Target="https://www.rts-tender.ru/" TargetMode="External"/><Relationship Id="rId6" Type="http://schemas.openxmlformats.org/officeDocument/2006/relationships/hyperlink" Target="https://www.rts-tender.ru/" TargetMode="External"/><Relationship Id="rId7" Type="http://schemas.openxmlformats.org/officeDocument/2006/relationships/hyperlink" Target="https://www.rts-tender.ru/" TargetMode="External"/><Relationship Id="rId8" Type="http://schemas.openxmlformats.org/officeDocument/2006/relationships/hyperlink" Target="https://www.rts-tender.ru/" TargetMode="External"/><Relationship Id="rId9" Type="http://schemas.openxmlformats.org/officeDocument/2006/relationships/hyperlink" Target="https://i.rts-tender.ru/" TargetMode="External"/><Relationship Id="rId10" Type="http://schemas.openxmlformats.org/officeDocument/2006/relationships/hyperlink" Target="http://www.torgi.gov.ru/" TargetMode="External"/><Relationship Id="rId11" Type="http://schemas.openxmlformats.org/officeDocument/2006/relationships/hyperlink" Target="https://www.rts-tender.ru/" TargetMode="External"/><Relationship Id="rId12" Type="http://schemas.openxmlformats.org/officeDocument/2006/relationships/hyperlink" Target="mailto:tu35@rosim.ru"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LibreOffice/24.8.7.2$Linux_X86_64 LibreOffice_project/480$Build-2</Application>
  <AppVersion>15.0000</AppVersion>
  <Pages>7</Pages>
  <Words>2724</Words>
  <Characters>19142</Characters>
  <CharactersWithSpaces>21776</CharactersWithSpaces>
  <Paragraphs>127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2025-11-28T10:59:00Z</dcterms:created>
  <dc:creator/>
  <dc:description/>
  <dc:language>ru-RU</dc:language>
  <cp:lastModifiedBy/>
  <dcterms:modified xsi:type="dcterms:W3CDTF">2026-10-26T09:40:38Z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file>