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ind w:firstLine="709" w:left="0"/>
        <w:jc w:val="both"/>
      </w:pPr>
    </w:p>
    <w:p w14:paraId="02000000">
      <w:pPr>
        <w:widowControl w:val="0"/>
        <w:ind w:firstLine="709" w:left="0"/>
        <w:jc w:val="center"/>
        <w:rPr>
          <w:b w:val="1"/>
          <w:sz w:val="28"/>
        </w:rPr>
      </w:pPr>
      <w:r>
        <w:rPr>
          <w:b w:val="1"/>
          <w:sz w:val="28"/>
        </w:rPr>
        <w:t>Приложение к Информационному сообщению о продаже древесины, которая получена при использовании лесов, расположенных на землях лесного фонда, в соответствии со статьями 43 – 46 Лесного кодекса Российской Федерации (далее – древесина), в соответствии с постановлением Правительства Российской Федерации от 23.07.2009 № 604.</w:t>
      </w:r>
    </w:p>
    <w:p w14:paraId="03000000">
      <w:pPr>
        <w:widowControl w:val="0"/>
        <w:ind w:firstLine="709" w:left="0"/>
        <w:jc w:val="center"/>
        <w:rPr>
          <w:b w:val="1"/>
          <w:sz w:val="28"/>
        </w:rPr>
      </w:pPr>
    </w:p>
    <w:p w14:paraId="04000000">
      <w:pPr>
        <w:widowControl w:val="0"/>
        <w:ind w:firstLine="709" w:left="0"/>
        <w:jc w:val="center"/>
        <w:rPr>
          <w:b w:val="1"/>
          <w:sz w:val="28"/>
        </w:rPr>
      </w:pPr>
      <w:r>
        <w:rPr>
          <w:b w:val="1"/>
          <w:sz w:val="28"/>
          <w:shd w:fill="FFD821" w:val="clear"/>
        </w:rPr>
        <w:t xml:space="preserve">!!! В новых информационных сообщениях о продаже древесины, опубликованных с 1 января 2025 г. прием заявок </w:t>
      </w:r>
      <w:r>
        <w:rPr>
          <w:b w:val="1"/>
          <w:sz w:val="28"/>
          <w:u w:val="none"/>
          <w:shd w:fill="FFD821" w:val="clear"/>
        </w:rPr>
        <w:t xml:space="preserve">ведется </w:t>
      </w:r>
      <w:r>
        <w:rPr>
          <w:b w:val="1"/>
          <w:sz w:val="28"/>
          <w:u w:val="single"/>
          <w:shd w:fill="FFD821" w:val="clear"/>
        </w:rPr>
        <w:t>ТОЛЬКО через ГИС-ТОРГИ</w:t>
      </w:r>
      <w:r>
        <w:rPr>
          <w:b w:val="1"/>
          <w:sz w:val="28"/>
          <w:u w:val="none"/>
          <w:shd w:fill="FFD821" w:val="clear"/>
        </w:rPr>
        <w:t xml:space="preserve"> </w:t>
      </w:r>
      <w:r>
        <w:rPr>
          <w:b w:val="1"/>
          <w:sz w:val="28"/>
          <w:u w:val="none"/>
          <w:shd w:fill="4BF357" w:val="clear"/>
        </w:rPr>
        <w:t xml:space="preserve">(заявка подается на ГИС-Торгах </w:t>
      </w:r>
      <w:r>
        <w:rPr>
          <w:b w:val="1"/>
          <w:sz w:val="28"/>
          <w:u w:val="single"/>
          <w:shd w:fill="4BF357" w:val="clear"/>
        </w:rPr>
        <w:t>без документов из перечня, необходимые документы досылаются</w:t>
      </w:r>
      <w:r>
        <w:rPr>
          <w:b w:val="1"/>
          <w:sz w:val="28"/>
          <w:u w:val="single"/>
          <w:shd w:fill="4BF357" w:val="clear"/>
        </w:rPr>
        <w:t xml:space="preserve"> </w:t>
      </w:r>
      <w:r>
        <w:rPr>
          <w:b w:val="1"/>
          <w:sz w:val="28"/>
          <w:u w:val="none"/>
          <w:shd w:fill="4BF357" w:val="clear"/>
        </w:rPr>
        <w:t xml:space="preserve"> на электронную почту представителя продавца ТОЛЬКО в ответ на уведомление о признании покупателем)</w:t>
      </w:r>
      <w:r>
        <w:rPr>
          <w:b w:val="1"/>
          <w:sz w:val="28"/>
          <w:shd w:fill="4BF357" w:val="clear"/>
        </w:rPr>
        <w:t>!!!</w:t>
      </w:r>
    </w:p>
    <w:p w14:paraId="05000000">
      <w:pPr>
        <w:widowControl w:val="0"/>
        <w:ind w:firstLine="709" w:left="0"/>
        <w:jc w:val="both"/>
        <w:rPr>
          <w:sz w:val="28"/>
        </w:rPr>
      </w:pPr>
    </w:p>
    <w:p w14:paraId="06000000">
      <w:pPr>
        <w:widowControl w:val="0"/>
        <w:spacing w:line="276" w:lineRule="auto"/>
        <w:ind w:firstLine="709" w:left="0"/>
        <w:jc w:val="both"/>
        <w:rPr>
          <w:b w:val="0"/>
          <w:sz w:val="28"/>
        </w:rPr>
      </w:pPr>
      <w:r>
        <w:rPr>
          <w:b w:val="0"/>
          <w:sz w:val="28"/>
        </w:rPr>
        <w:t xml:space="preserve">В случае подачи претендентом </w:t>
      </w:r>
      <w:r>
        <w:rPr>
          <w:b w:val="1"/>
          <w:sz w:val="28"/>
        </w:rPr>
        <w:t>единственной заявки</w:t>
      </w:r>
      <w:r>
        <w:rPr>
          <w:b w:val="0"/>
          <w:sz w:val="28"/>
        </w:rPr>
        <w:t xml:space="preserve"> на один или несколько лотов, </w:t>
      </w:r>
      <w:r>
        <w:rPr>
          <w:b w:val="1"/>
          <w:sz w:val="28"/>
        </w:rPr>
        <w:t>п</w:t>
      </w:r>
      <w:r>
        <w:rPr>
          <w:b w:val="1"/>
          <w:sz w:val="28"/>
        </w:rPr>
        <w:t>ретендент признается покупателем</w:t>
      </w:r>
      <w:r>
        <w:rPr>
          <w:b w:val="0"/>
          <w:sz w:val="28"/>
        </w:rPr>
        <w:t xml:space="preserve"> по одному или нескольким лотам протоколом </w:t>
      </w:r>
      <w:r>
        <w:rPr>
          <w:b w:val="0"/>
          <w:sz w:val="28"/>
        </w:rPr>
        <w:t xml:space="preserve">о подведении итогов приема заявок по продаже древесины, после чего </w:t>
      </w:r>
      <w:r>
        <w:rPr>
          <w:b w:val="1"/>
          <w:sz w:val="28"/>
        </w:rPr>
        <w:t>покупателю по электронной почте направляется уведомление о признании его покупателем</w:t>
      </w:r>
      <w:r>
        <w:rPr>
          <w:b w:val="0"/>
          <w:sz w:val="28"/>
        </w:rPr>
        <w:t xml:space="preserve"> с предложением заключить договор купли-продажи древесины.</w:t>
      </w:r>
    </w:p>
    <w:p w14:paraId="07000000">
      <w:pPr>
        <w:widowControl w:val="0"/>
        <w:spacing w:line="276" w:lineRule="auto"/>
        <w:ind w:firstLine="709" w:left="0"/>
        <w:jc w:val="both"/>
        <w:rPr>
          <w:sz w:val="28"/>
        </w:rPr>
      </w:pPr>
      <w:r>
        <w:rPr>
          <w:b w:val="0"/>
          <w:sz w:val="28"/>
        </w:rPr>
        <w:t xml:space="preserve">В случае намерений покупателя заключить договор купли-продажи в ответ на направленное по электронной почте уведомление о признании покупателем, </w:t>
      </w:r>
      <w:r>
        <w:rPr>
          <w:b w:val="1"/>
          <w:sz w:val="28"/>
          <w:u w:val="single"/>
        </w:rPr>
        <w:t xml:space="preserve">покупателем </w:t>
      </w:r>
      <w:r>
        <w:rPr>
          <w:b w:val="1"/>
          <w:sz w:val="28"/>
          <w:u w:val="single"/>
        </w:rPr>
        <w:t>предоставляются документы в соответствии с перечнем ниже на электронную почту</w:t>
      </w:r>
      <w:r>
        <w:rPr>
          <w:b w:val="1"/>
          <w:sz w:val="28"/>
          <w:u w:val="single"/>
        </w:rPr>
        <w:t xml:space="preserve"> представителя продавца</w:t>
      </w:r>
      <w:r>
        <w:rPr>
          <w:b w:val="0"/>
          <w:sz w:val="28"/>
        </w:rPr>
        <w:t>.</w:t>
      </w:r>
    </w:p>
    <w:p w14:paraId="08000000">
      <w:pPr>
        <w:widowControl w:val="0"/>
        <w:spacing w:line="276" w:lineRule="auto"/>
        <w:ind w:firstLine="709" w:left="0"/>
        <w:jc w:val="both"/>
        <w:rPr>
          <w:sz w:val="28"/>
        </w:rPr>
      </w:pPr>
    </w:p>
    <w:p w14:paraId="09000000">
      <w:pPr>
        <w:widowControl w:val="0"/>
        <w:spacing w:line="276" w:lineRule="auto"/>
        <w:ind w:firstLine="709" w:left="0"/>
        <w:jc w:val="both"/>
        <w:rPr>
          <w:sz w:val="28"/>
        </w:rPr>
      </w:pPr>
    </w:p>
    <w:p w14:paraId="0A000000">
      <w:pPr>
        <w:widowControl w:val="0"/>
        <w:spacing w:line="276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b w:val="1"/>
          <w:sz w:val="28"/>
          <w:u w:val="single"/>
        </w:rPr>
        <w:t>Победители - физические лица</w:t>
      </w:r>
      <w:r>
        <w:rPr>
          <w:sz w:val="28"/>
        </w:rPr>
        <w:t xml:space="preserve"> предоставляют</w:t>
      </w:r>
      <w:r>
        <w:rPr>
          <w:b w:val="1"/>
          <w:sz w:val="28"/>
        </w:rPr>
        <w:t xml:space="preserve"> в ответ на уведомление</w:t>
      </w:r>
      <w:r>
        <w:rPr>
          <w:sz w:val="28"/>
        </w:rPr>
        <w:t xml:space="preserve"> о признании победителем:</w:t>
      </w:r>
    </w:p>
    <w:p w14:paraId="0B000000">
      <w:pPr>
        <w:widowControl w:val="0"/>
        <w:spacing w:line="276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 - копию </w:t>
      </w:r>
      <w:r>
        <w:rPr>
          <w:b w:val="1"/>
          <w:sz w:val="28"/>
          <w:u w:val="single"/>
        </w:rPr>
        <w:t>всех страниц</w:t>
      </w:r>
      <w:r>
        <w:rPr>
          <w:sz w:val="28"/>
        </w:rPr>
        <w:t xml:space="preserve"> документа, удостоверяющего личность;</w:t>
      </w:r>
    </w:p>
    <w:p w14:paraId="0C000000">
      <w:pPr>
        <w:widowControl w:val="0"/>
        <w:spacing w:line="276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 - копию свидетельства о постановке на учет в налоговом органе физического лица по месту жительства на территории Российской Федерации (свидетельство ИНН).</w:t>
      </w:r>
    </w:p>
    <w:p w14:paraId="0D000000">
      <w:pPr>
        <w:widowControl w:val="0"/>
        <w:spacing w:line="276" w:lineRule="auto"/>
        <w:ind/>
        <w:jc w:val="both"/>
        <w:rPr>
          <w:sz w:val="28"/>
        </w:rPr>
      </w:pPr>
    </w:p>
    <w:p w14:paraId="0E000000">
      <w:pPr>
        <w:widowControl w:val="0"/>
        <w:spacing w:line="276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b w:val="1"/>
          <w:sz w:val="28"/>
          <w:u w:val="single"/>
        </w:rPr>
        <w:t>Претенденты - юридические лица</w:t>
      </w:r>
      <w:r>
        <w:rPr>
          <w:sz w:val="28"/>
        </w:rPr>
        <w:t xml:space="preserve"> </w:t>
      </w:r>
      <w:r>
        <w:rPr>
          <w:sz w:val="28"/>
        </w:rPr>
        <w:t xml:space="preserve">предоставляют </w:t>
      </w:r>
      <w:r>
        <w:rPr>
          <w:b w:val="1"/>
          <w:sz w:val="28"/>
        </w:rPr>
        <w:t>в ответ на уведомление</w:t>
      </w:r>
      <w:r>
        <w:rPr>
          <w:sz w:val="28"/>
        </w:rPr>
        <w:t xml:space="preserve"> о признании победителем:</w:t>
      </w:r>
    </w:p>
    <w:p w14:paraId="0F000000">
      <w:pPr>
        <w:widowControl w:val="0"/>
        <w:spacing w:line="276" w:lineRule="auto"/>
        <w:ind w:firstLine="709" w:left="0"/>
        <w:jc w:val="both"/>
        <w:rPr>
          <w:sz w:val="28"/>
        </w:rPr>
      </w:pPr>
      <w:r>
        <w:rPr>
          <w:sz w:val="28"/>
        </w:rPr>
        <w:t>-  копии учредительных документов (в соответствии с</w:t>
      </w:r>
      <w:r>
        <w:rPr>
          <w:sz w:val="28"/>
        </w:rPr>
        <w:t xml:space="preserve">о ст. 52 Гражданского кодекса РФ); </w:t>
      </w:r>
    </w:p>
    <w:p w14:paraId="10000000">
      <w:pPr>
        <w:widowControl w:val="0"/>
        <w:spacing w:line="276" w:lineRule="auto"/>
        <w:ind w:firstLine="709" w:left="0"/>
        <w:jc w:val="both"/>
        <w:rPr>
          <w:sz w:val="28"/>
        </w:rPr>
      </w:pPr>
      <w:r>
        <w:rPr>
          <w:sz w:val="28"/>
        </w:rPr>
        <w:t>- копию свидетельства о государственной регистрации юридического лица (свидетельство ОГРН);</w:t>
      </w:r>
    </w:p>
    <w:p w14:paraId="11000000">
      <w:pPr>
        <w:widowControl w:val="0"/>
        <w:spacing w:line="276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- копию свидетельства о постановке на учет в налоговом органе юридического лица по месту её нахождения на территории Российской </w:t>
      </w:r>
      <w:r>
        <w:rPr>
          <w:sz w:val="28"/>
        </w:rPr>
        <w:t>Федерации (свидетельство ИНН);</w:t>
      </w:r>
    </w:p>
    <w:p w14:paraId="12000000">
      <w:pPr>
        <w:widowControl w:val="0"/>
        <w:spacing w:line="276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- копия выписки из ЕГРЮЛ о состоянии юридического лица, выданной не ранее 6 месяцев до даты подачи заявки </w:t>
      </w:r>
      <w:r>
        <w:rPr>
          <w:b w:val="1"/>
          <w:sz w:val="28"/>
        </w:rPr>
        <w:t>(срок между датой выгрузки выписки из ЕГРЮЛ и датой подачи заявки на продажу не должен превышать 6 месяцев)</w:t>
      </w:r>
      <w:r>
        <w:rPr>
          <w:sz w:val="28"/>
        </w:rPr>
        <w:t>;</w:t>
      </w:r>
    </w:p>
    <w:p w14:paraId="13000000">
      <w:pPr>
        <w:widowControl w:val="0"/>
        <w:spacing w:line="276" w:lineRule="auto"/>
        <w:ind w:firstLine="709" w:left="0"/>
        <w:jc w:val="both"/>
        <w:rPr>
          <w:sz w:val="28"/>
        </w:rPr>
      </w:pPr>
      <w:r>
        <w:rPr>
          <w:sz w:val="28"/>
        </w:rPr>
        <w:t>- надлежащ</w:t>
      </w:r>
      <w:r>
        <w:rPr>
          <w:sz w:val="28"/>
        </w:rPr>
        <w:t xml:space="preserve">им образом оформленные копии документов, подтверждающие полномочия органов управления и должностных лиц претендента. </w:t>
      </w:r>
      <w:r>
        <w:rPr>
          <w:sz w:val="28"/>
          <w:u w:val="single"/>
        </w:rPr>
        <w:t>Под такими документами понимаются</w:t>
      </w:r>
      <w:r>
        <w:rPr>
          <w:sz w:val="28"/>
        </w:rPr>
        <w:t>, в том числе протоколы об избрании Совета директоров (наблюдательного совета) и исполнительного органа пр</w:t>
      </w:r>
      <w:r>
        <w:rPr>
          <w:sz w:val="28"/>
        </w:rPr>
        <w:t>етендента, а также приказ (распоряжение) работодателя о приеме на работу соответствующих должностных лиц претендента;</w:t>
      </w:r>
    </w:p>
    <w:p w14:paraId="14000000">
      <w:pPr>
        <w:widowControl w:val="0"/>
        <w:spacing w:line="276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- письменное решение соответствующего органа управления претендента, разрешающее приобретение подлежащей реализации древесины (если это </w:t>
      </w:r>
      <w:r>
        <w:rPr>
          <w:sz w:val="28"/>
        </w:rPr>
        <w:t>необходимо в соответствии с учредительными документами претендента и законодательством страны, в которой зарегистрирован претендент), подписанное уполномоченными лицами соответствующего органа управления с проставлением печати юридического лица, либо нотар</w:t>
      </w:r>
      <w:r>
        <w:rPr>
          <w:sz w:val="28"/>
        </w:rPr>
        <w:t>иально заверенные копии решения органа управления претендента или выписки из него. Если предполагаемая сделка является для общества крупной, и в соответствии с учредительными документами претендента требуется одобрение крупной сделки, то решение о приобрет</w:t>
      </w:r>
      <w:r>
        <w:rPr>
          <w:sz w:val="28"/>
        </w:rPr>
        <w:t xml:space="preserve">ении имущества должно быть оформлено в форме решения об одобрении крупной сделки уполномоченным на то органом управления, </w:t>
      </w:r>
      <w:r>
        <w:rPr>
          <w:b w:val="1"/>
          <w:sz w:val="28"/>
          <w:u w:val="single"/>
        </w:rPr>
        <w:t>либо уведомление о том, что данная сделка для заявителя не является крупной</w:t>
      </w:r>
      <w:r>
        <w:rPr>
          <w:sz w:val="28"/>
        </w:rPr>
        <w:t>.</w:t>
      </w:r>
    </w:p>
    <w:p w14:paraId="15000000">
      <w:pPr>
        <w:widowControl w:val="0"/>
        <w:spacing w:line="276" w:lineRule="auto"/>
        <w:ind w:firstLine="709" w:left="0"/>
        <w:jc w:val="both"/>
        <w:rPr>
          <w:sz w:val="28"/>
        </w:rPr>
      </w:pPr>
      <w:r>
        <w:rPr>
          <w:sz w:val="28"/>
        </w:rPr>
        <w:t>Иностранные юридические лица представляют нотариально зав</w:t>
      </w:r>
      <w:r>
        <w:rPr>
          <w:sz w:val="28"/>
        </w:rPr>
        <w:t>еренные копии учредительных документов и выписки из торгового реестра страны происхождения или иное эквивалентное доказательство юридического статуса;</w:t>
      </w:r>
    </w:p>
    <w:p w14:paraId="16000000">
      <w:pPr>
        <w:widowControl w:val="0"/>
        <w:spacing w:line="276" w:lineRule="auto"/>
        <w:ind w:firstLine="709" w:left="0"/>
        <w:jc w:val="both"/>
        <w:rPr>
          <w:sz w:val="28"/>
        </w:rPr>
      </w:pPr>
    </w:p>
    <w:p w14:paraId="17000000">
      <w:pPr>
        <w:widowControl w:val="0"/>
        <w:spacing w:line="276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3. </w:t>
      </w:r>
      <w:r>
        <w:rPr>
          <w:b w:val="1"/>
          <w:sz w:val="28"/>
          <w:u w:val="single"/>
        </w:rPr>
        <w:t>Претенденты – индивидуальные предприниматели</w:t>
      </w:r>
      <w:r>
        <w:rPr>
          <w:sz w:val="28"/>
        </w:rPr>
        <w:t xml:space="preserve"> </w:t>
      </w:r>
      <w:r>
        <w:rPr>
          <w:sz w:val="28"/>
        </w:rPr>
        <w:t xml:space="preserve">предоставляют </w:t>
      </w:r>
      <w:r>
        <w:rPr>
          <w:b w:val="1"/>
          <w:sz w:val="28"/>
        </w:rPr>
        <w:t>в ответ на уведомление</w:t>
      </w:r>
      <w:r>
        <w:rPr>
          <w:sz w:val="28"/>
        </w:rPr>
        <w:t xml:space="preserve"> о признании победителем:</w:t>
      </w:r>
    </w:p>
    <w:p w14:paraId="18000000">
      <w:pPr>
        <w:widowControl w:val="0"/>
        <w:spacing w:line="276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- копию </w:t>
      </w:r>
      <w:r>
        <w:rPr>
          <w:b w:val="1"/>
          <w:sz w:val="28"/>
          <w:u w:val="single"/>
        </w:rPr>
        <w:t>всех страниц</w:t>
      </w:r>
      <w:r>
        <w:rPr>
          <w:sz w:val="28"/>
        </w:rPr>
        <w:t xml:space="preserve"> документа, удостоверя</w:t>
      </w:r>
      <w:r>
        <w:rPr>
          <w:sz w:val="28"/>
        </w:rPr>
        <w:t>ющего личность;</w:t>
      </w:r>
    </w:p>
    <w:p w14:paraId="19000000">
      <w:pPr>
        <w:widowControl w:val="0"/>
        <w:spacing w:line="276" w:lineRule="auto"/>
        <w:ind w:firstLine="709" w:left="0"/>
        <w:jc w:val="both"/>
        <w:rPr>
          <w:sz w:val="28"/>
        </w:rPr>
      </w:pPr>
      <w:r>
        <w:rPr>
          <w:sz w:val="28"/>
        </w:rPr>
        <w:t>- копию свидетельство о постановке на учет в налоговом органе физического лица по месту жительства на территории Российской Федерации (свидетельство ИНН);</w:t>
      </w:r>
    </w:p>
    <w:p w14:paraId="1A000000">
      <w:pPr>
        <w:widowControl w:val="0"/>
        <w:spacing w:line="276" w:lineRule="auto"/>
        <w:ind w:firstLine="709" w:left="0"/>
        <w:jc w:val="both"/>
        <w:rPr>
          <w:sz w:val="28"/>
        </w:rPr>
      </w:pPr>
      <w:r>
        <w:rPr>
          <w:sz w:val="28"/>
        </w:rPr>
        <w:t>- копию свидетельства о внесении записи об индивидуальном предпринимателе в Единый Ре</w:t>
      </w:r>
      <w:r>
        <w:rPr>
          <w:sz w:val="28"/>
        </w:rPr>
        <w:t>естр Государственных Предпринимателей (ЕГРИП) с присвоением ему Основного Государственного Регистрационного Номера Индивидуального Предпринимателя (ОГРНИП);</w:t>
      </w:r>
    </w:p>
    <w:p w14:paraId="1B000000">
      <w:pPr>
        <w:widowControl w:val="0"/>
        <w:spacing w:line="276" w:lineRule="auto"/>
        <w:ind w:firstLine="709" w:left="0"/>
        <w:jc w:val="both"/>
        <w:rPr>
          <w:sz w:val="28"/>
        </w:rPr>
      </w:pPr>
      <w:r>
        <w:rPr>
          <w:sz w:val="28"/>
        </w:rPr>
        <w:t>- копию выписки из ЕГРИП о состоянии индивидуального предпринимателя, выданной не ранее 6 месяцев д</w:t>
      </w:r>
      <w:r>
        <w:rPr>
          <w:sz w:val="28"/>
        </w:rPr>
        <w:t xml:space="preserve">о даты подачи заявки </w:t>
      </w:r>
      <w:r>
        <w:rPr>
          <w:b w:val="1"/>
          <w:sz w:val="28"/>
        </w:rPr>
        <w:t>(срок между датой выгрузки выписки из ЕГРИП и датой подачи заявки на продажу не должен превышать 6 месяцев)</w:t>
      </w:r>
      <w:r>
        <w:rPr>
          <w:sz w:val="28"/>
        </w:rPr>
        <w:t>.</w:t>
      </w:r>
    </w:p>
    <w:p w14:paraId="1C000000">
      <w:pPr>
        <w:widowControl w:val="0"/>
        <w:spacing w:line="276" w:lineRule="auto"/>
        <w:ind w:firstLine="709" w:left="0"/>
        <w:jc w:val="both"/>
        <w:rPr>
          <w:sz w:val="28"/>
        </w:rPr>
      </w:pPr>
    </w:p>
    <w:p w14:paraId="1D000000">
      <w:pPr>
        <w:widowControl w:val="0"/>
        <w:spacing w:line="276" w:lineRule="auto"/>
        <w:ind w:firstLine="709" w:left="0"/>
        <w:jc w:val="both"/>
        <w:rPr>
          <w:sz w:val="28"/>
        </w:rPr>
      </w:pPr>
      <w:r>
        <w:rPr>
          <w:sz w:val="28"/>
        </w:rPr>
        <w:t>Указанные документы (в том числе копии документов) в части их оформления и содержания должны соответствовать требов</w:t>
      </w:r>
      <w:r>
        <w:rPr>
          <w:sz w:val="28"/>
        </w:rPr>
        <w:t xml:space="preserve">аниям законодательства Российской Федерации и настоящего информационного сообщения. </w:t>
      </w:r>
    </w:p>
    <w:p w14:paraId="1E000000">
      <w:pPr>
        <w:widowControl w:val="0"/>
        <w:spacing w:line="276" w:lineRule="auto"/>
        <w:ind w:firstLine="709" w:left="0"/>
        <w:jc w:val="both"/>
        <w:rPr>
          <w:sz w:val="28"/>
        </w:rPr>
      </w:pPr>
      <w:r>
        <w:rPr>
          <w:sz w:val="28"/>
        </w:rPr>
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1F000000">
      <w:pPr>
        <w:widowControl w:val="0"/>
        <w:spacing w:line="276" w:lineRule="auto"/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Некомплектность пакета документов является основанием для отказа в заключении договора купли-продажи.</w:t>
      </w:r>
    </w:p>
    <w:p w14:paraId="20000000">
      <w:pPr>
        <w:widowControl w:val="0"/>
        <w:ind w:firstLine="709" w:left="0"/>
        <w:jc w:val="both"/>
        <w:rPr>
          <w:sz w:val="28"/>
        </w:rPr>
      </w:pPr>
    </w:p>
    <w:p w14:paraId="21000000">
      <w:pPr>
        <w:widowControl w:val="0"/>
        <w:ind w:firstLine="709" w:left="0"/>
        <w:jc w:val="both"/>
      </w:pPr>
    </w:p>
    <w:sectPr>
      <w:pgSz w:h="16838" w:orient="portrait" w:w="11906"/>
      <w:pgMar w:bottom="567" w:footer="709" w:gutter="0" w:header="709" w:left="1134" w:right="851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rPr>
      <w:sz w:val="24"/>
    </w:rPr>
  </w:style>
  <w:style w:default="1" w:styleId="Style_1_ch" w:type="character">
    <w:name w:val="Normal"/>
    <w:link w:val="Style_1"/>
    <w:rPr>
      <w:sz w:val="24"/>
    </w:rPr>
  </w:style>
  <w:style w:styleId="Style_2" w:type="paragraph">
    <w:name w:val="ConsPlusNormal"/>
    <w:link w:val="Style_2_ch"/>
    <w:rPr>
      <w:rFonts w:ascii="Arial" w:hAnsi="Arial"/>
    </w:rPr>
  </w:style>
  <w:style w:styleId="Style_2_ch" w:type="character">
    <w:name w:val="ConsPlusNormal"/>
    <w:link w:val="Style_2"/>
    <w:rPr>
      <w:rFonts w:ascii="Arial" w:hAnsi="Arial"/>
    </w:rPr>
  </w:style>
  <w:style w:styleId="Style_3" w:type="paragraph">
    <w:name w:val="toc 2"/>
    <w:next w:val="Style_1"/>
    <w:link w:val="Style_3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1"/>
    <w:link w:val="Style_4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Body Text 2"/>
    <w:basedOn w:val="Style_1"/>
    <w:link w:val="Style_9_ch"/>
    <w:pPr>
      <w:widowControl w:val="0"/>
      <w:spacing w:after="120" w:line="480" w:lineRule="auto"/>
      <w:ind/>
    </w:pPr>
  </w:style>
  <w:style w:styleId="Style_9_ch" w:type="character">
    <w:name w:val="Body Text 2"/>
    <w:basedOn w:val="Style_1_ch"/>
    <w:link w:val="Style_9"/>
  </w:style>
  <w:style w:styleId="Style_10" w:type="paragraph">
    <w:name w:val="Body Text Indent"/>
    <w:basedOn w:val="Style_1"/>
    <w:link w:val="Style_10_ch"/>
    <w:pPr>
      <w:widowControl w:val="0"/>
      <w:spacing w:after="120"/>
      <w:ind w:firstLine="0" w:left="283"/>
    </w:pPr>
  </w:style>
  <w:style w:styleId="Style_10_ch" w:type="character">
    <w:name w:val="Body Text Indent"/>
    <w:basedOn w:val="Style_1_ch"/>
    <w:link w:val="Style_10"/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toc 3"/>
    <w:next w:val="Style_1"/>
    <w:link w:val="Style_12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1"/>
    <w:link w:val="Style_13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ConsPlusNonformat"/>
    <w:link w:val="Style_14_ch"/>
    <w:rPr>
      <w:rFonts w:ascii="Courier New" w:hAnsi="Courier New"/>
    </w:rPr>
  </w:style>
  <w:style w:styleId="Style_14_ch" w:type="character">
    <w:name w:val="ConsPlusNonformat"/>
    <w:link w:val="Style_14"/>
    <w:rPr>
      <w:rFonts w:ascii="Courier New" w:hAnsi="Courier New"/>
    </w:rPr>
  </w:style>
  <w:style w:styleId="Style_15" w:type="paragraph">
    <w:name w:val="heading 1"/>
    <w:next w:val="Style_1"/>
    <w:link w:val="Style_15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1"/>
    <w:link w:val="Style_18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Body Text Indent 2"/>
    <w:basedOn w:val="Style_1"/>
    <w:link w:val="Style_20_ch"/>
    <w:pPr>
      <w:widowControl w:val="0"/>
      <w:spacing w:after="120" w:line="480" w:lineRule="auto"/>
      <w:ind w:firstLine="0" w:left="283"/>
    </w:pPr>
  </w:style>
  <w:style w:styleId="Style_20_ch" w:type="character">
    <w:name w:val="Body Text Indent 2"/>
    <w:basedOn w:val="Style_1_ch"/>
    <w:link w:val="Style_20"/>
  </w:style>
  <w:style w:styleId="Style_21" w:type="paragraph">
    <w:name w:val="toc 9"/>
    <w:next w:val="Style_1"/>
    <w:link w:val="Style_21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1"/>
    <w:link w:val="Style_22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1"/>
    <w:link w:val="Style_23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1"/>
    <w:link w:val="Style_24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1"/>
    <w:link w:val="Style_25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1"/>
    <w:link w:val="Style_26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1"/>
    <w:link w:val="Style_27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28" w:type="paragraph">
    <w:name w:val="Balloon Text"/>
    <w:basedOn w:val="Style_1"/>
    <w:link w:val="Style_28_ch"/>
    <w:rPr>
      <w:rFonts w:ascii="Segoe UI" w:hAnsi="Segoe UI"/>
      <w:sz w:val="18"/>
    </w:rPr>
  </w:style>
  <w:style w:styleId="Style_28_ch" w:type="character">
    <w:name w:val="Balloon Text"/>
    <w:basedOn w:val="Style_1_ch"/>
    <w:link w:val="Style_28"/>
    <w:rPr>
      <w:rFonts w:ascii="Segoe UI" w:hAnsi="Segoe UI"/>
      <w:sz w:val="1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2025-02-03T07:25:41Z</dcterms:created>
  <dcterms:modified xsi:type="dcterms:W3CDTF">2026-06-16T12:06:26Z</dcterms:modified>
</cp:coreProperties>
</file>