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0" w:before="0"/>
        <w:ind w:right="-426"/>
        <w:rPr>
          <w:sz w:val="19"/>
        </w:rPr>
      </w:pPr>
    </w:p>
    <w:p w14:paraId="02000000">
      <w:pPr>
        <w:widowControl w:val="1"/>
        <w:spacing w:after="0" w:before="0" w:line="240" w:lineRule="auto"/>
        <w:ind w:right="-426"/>
        <w:rPr>
          <w:rFonts w:ascii="Times New Roman" w:hAnsi="Times New Roman"/>
          <w:color w:themeColor="text1" w:val="000000"/>
          <w:sz w:val="22"/>
          <w:highlight w:val="white"/>
        </w:rPr>
      </w:pPr>
      <w:r>
        <w:rPr>
          <w:rFonts w:ascii="Times New Roman" w:hAnsi="Times New Roman"/>
          <w:color w:themeColor="text1" w:val="000000"/>
          <w:sz w:val="22"/>
          <w:highlight w:val="white"/>
        </w:rPr>
        <w:t>Межрегиональное территориальное управление Федерального агентства по управлению</w:t>
      </w:r>
    </w:p>
    <w:p w14:paraId="03000000">
      <w:pPr>
        <w:widowControl w:val="1"/>
        <w:spacing w:after="0" w:before="0" w:line="240" w:lineRule="auto"/>
        <w:ind w:firstLine="0" w:left="-1418" w:right="-426"/>
        <w:jc w:val="center"/>
        <w:rPr>
          <w:rFonts w:ascii="Times New Roman" w:hAnsi="Times New Roman"/>
          <w:color w:themeColor="text1" w:val="000000"/>
          <w:sz w:val="22"/>
          <w:highlight w:val="white"/>
        </w:rPr>
      </w:pPr>
      <w:r>
        <w:rPr>
          <w:rFonts w:ascii="Times New Roman" w:hAnsi="Times New Roman"/>
          <w:color w:themeColor="text1" w:val="000000"/>
          <w:sz w:val="22"/>
          <w:highlight w:val="white"/>
        </w:rPr>
        <w:t>государственным имуществом в городе Санкт-Петербурге и Ленинградской области сообщает</w:t>
      </w:r>
    </w:p>
    <w:p w14:paraId="04000000">
      <w:pPr>
        <w:widowControl w:val="1"/>
        <w:spacing w:after="0" w:before="0" w:line="240" w:lineRule="auto"/>
        <w:ind w:firstLine="0" w:left="-1418" w:right="-426"/>
        <w:jc w:val="center"/>
        <w:rPr>
          <w:rFonts w:ascii="Times New Roman" w:hAnsi="Times New Roman"/>
          <w:b w:val="1"/>
          <w:color w:themeColor="text1" w:val="000000"/>
          <w:sz w:val="22"/>
          <w:highlight w:val="white"/>
        </w:rPr>
      </w:pPr>
      <w:r>
        <w:rPr>
          <w:rFonts w:ascii="Times New Roman" w:hAnsi="Times New Roman"/>
          <w:b w:val="1"/>
          <w:color w:themeColor="text1" w:val="000000"/>
          <w:sz w:val="22"/>
          <w:highlight w:val="white"/>
        </w:rPr>
        <w:t xml:space="preserve">О проведении открытого аукциона в электронной форме </w:t>
      </w:r>
    </w:p>
    <w:p w14:paraId="05000000">
      <w:pPr>
        <w:widowControl w:val="1"/>
        <w:spacing w:after="0" w:before="0" w:line="240" w:lineRule="auto"/>
        <w:ind w:firstLine="0" w:left="-1418" w:right="-426"/>
        <w:jc w:val="center"/>
        <w:rPr>
          <w:rFonts w:ascii="Times New Roman" w:hAnsi="Times New Roman"/>
          <w:b w:val="1"/>
          <w:color w:themeColor="text1" w:val="000000"/>
          <w:sz w:val="22"/>
          <w:highlight w:val="white"/>
        </w:rPr>
      </w:pPr>
      <w:r>
        <w:rPr>
          <w:rFonts w:ascii="Times New Roman" w:hAnsi="Times New Roman"/>
          <w:b w:val="1"/>
          <w:color w:themeColor="text1" w:val="000000"/>
          <w:sz w:val="22"/>
          <w:highlight w:val="white"/>
        </w:rPr>
        <w:t xml:space="preserve">Оператор электронной торговой площадки: </w:t>
      </w:r>
      <w:r>
        <w:rPr>
          <w:rFonts w:ascii="Times New Roman" w:hAnsi="Times New Roman"/>
          <w:b w:val="1"/>
          <w:color w:themeColor="text1" w:val="000000"/>
          <w:sz w:val="22"/>
          <w:highlight w:val="white"/>
        </w:rPr>
        <w:t>электронная</w:t>
      </w:r>
      <w:r>
        <w:rPr>
          <w:rFonts w:ascii="Times New Roman" w:hAnsi="Times New Roman"/>
          <w:b w:val="1"/>
          <w:color w:themeColor="text1" w:val="000000"/>
          <w:sz w:val="22"/>
          <w:highlight w:val="white"/>
        </w:rPr>
        <w:t xml:space="preserve"> торговая площадка </w:t>
      </w:r>
      <w:r>
        <w:rPr>
          <w:rFonts w:ascii="Times New Roman" w:hAnsi="Times New Roman"/>
          <w:sz w:val="22"/>
        </w:rPr>
        <w:t xml:space="preserve">Акционерное общество «Электронные торговые системы» </w:t>
      </w:r>
      <w:r>
        <w:rPr>
          <w:rFonts w:ascii="Times New Roman" w:hAnsi="Times New Roman"/>
          <w:sz w:val="22"/>
        </w:rPr>
        <w:t>https://www.fabrikant.ru/</w:t>
      </w:r>
    </w:p>
    <w:p w14:paraId="06000000">
      <w:pPr>
        <w:widowControl w:val="1"/>
        <w:spacing w:after="0" w:before="0" w:line="240" w:lineRule="auto"/>
        <w:ind w:firstLine="0" w:left="-1418" w:right="-426"/>
        <w:jc w:val="center"/>
        <w:rPr>
          <w:rFonts w:ascii="Times New Roman" w:hAnsi="Times New Roman"/>
          <w:b w:val="1"/>
          <w:color w:themeColor="text1" w:val="000000"/>
          <w:sz w:val="22"/>
          <w:highlight w:val="white"/>
        </w:rPr>
      </w:pPr>
      <w:r>
        <w:rPr>
          <w:rFonts w:ascii="Times New Roman" w:hAnsi="Times New Roman"/>
          <w:color w:themeColor="text1" w:val="000000"/>
          <w:sz w:val="22"/>
          <w:highlight w:val="white"/>
        </w:rPr>
        <w:t>Организатор торгов: Межрегиональное территориальное управление Федерального агентства по управлению государственным имуществом в городе Санкт-Петербурге и Ленинградской области</w:t>
      </w:r>
    </w:p>
    <w:p w14:paraId="07000000">
      <w:pPr>
        <w:widowControl w:val="1"/>
        <w:spacing w:after="0" w:before="0" w:line="240" w:lineRule="auto"/>
        <w:ind w:firstLine="0" w:left="-1418" w:right="-426"/>
        <w:jc w:val="center"/>
        <w:rPr>
          <w:rFonts w:ascii="Times New Roman" w:hAnsi="Times New Roman"/>
          <w:color w:themeColor="text1" w:val="000000"/>
          <w:sz w:val="22"/>
          <w:highlight w:val="white"/>
        </w:rPr>
      </w:pPr>
      <w:r>
        <w:rPr>
          <w:rFonts w:ascii="Times New Roman" w:hAnsi="Times New Roman"/>
          <w:color w:themeColor="text1" w:val="000000"/>
          <w:sz w:val="22"/>
          <w:highlight w:val="white"/>
        </w:rPr>
        <w:t xml:space="preserve">ОГРН-1097847130886, адрес: 191186, </w:t>
      </w:r>
      <w:r>
        <w:rPr>
          <w:rFonts w:ascii="Times New Roman" w:hAnsi="Times New Roman"/>
          <w:color w:themeColor="text1" w:val="000000"/>
          <w:sz w:val="22"/>
          <w:highlight w:val="white"/>
        </w:rPr>
        <w:t>г.Санкт</w:t>
      </w:r>
      <w:r>
        <w:rPr>
          <w:rFonts w:ascii="Times New Roman" w:hAnsi="Times New Roman"/>
          <w:color w:themeColor="text1" w:val="000000"/>
          <w:sz w:val="22"/>
          <w:highlight w:val="white"/>
        </w:rPr>
        <w:t xml:space="preserve">-Петербург, </w:t>
      </w:r>
      <w:r>
        <w:rPr>
          <w:rFonts w:ascii="Times New Roman" w:hAnsi="Times New Roman"/>
          <w:color w:themeColor="text1" w:val="000000"/>
          <w:sz w:val="22"/>
          <w:highlight w:val="white"/>
        </w:rPr>
        <w:t>ул.Гороховая</w:t>
      </w:r>
      <w:r>
        <w:rPr>
          <w:rFonts w:ascii="Times New Roman" w:hAnsi="Times New Roman"/>
          <w:color w:themeColor="text1" w:val="000000"/>
          <w:sz w:val="22"/>
          <w:highlight w:val="white"/>
        </w:rPr>
        <w:t>, д.2/6, литер А</w:t>
      </w:r>
    </w:p>
    <w:p w14:paraId="08000000">
      <w:pPr>
        <w:widowControl w:val="1"/>
        <w:spacing w:after="0" w:before="0" w:line="240" w:lineRule="auto"/>
        <w:ind w:firstLine="0" w:left="-1418" w:right="-426"/>
        <w:jc w:val="center"/>
        <w:rPr>
          <w:rFonts w:ascii="Times New Roman" w:hAnsi="Times New Roman"/>
          <w:b w:val="1"/>
          <w:color w:themeColor="text1" w:val="000000"/>
          <w:sz w:val="22"/>
          <w:highlight w:val="white"/>
        </w:rPr>
      </w:pPr>
      <w:r>
        <w:rPr>
          <w:rFonts w:ascii="Times New Roman" w:hAnsi="Times New Roman"/>
          <w:b w:val="1"/>
          <w:color w:themeColor="text1" w:val="000000"/>
          <w:sz w:val="22"/>
          <w:highlight w:val="white"/>
        </w:rPr>
        <w:t>Открытый аукцион состоится: 30.11.2026</w:t>
      </w:r>
      <w:r>
        <w:rPr>
          <w:rFonts w:ascii="Times New Roman" w:hAnsi="Times New Roman"/>
          <w:b w:val="1"/>
          <w:color w:themeColor="text1" w:val="000000"/>
          <w:sz w:val="22"/>
          <w:highlight w:val="white"/>
        </w:rPr>
        <w:t xml:space="preserve"> г. в 12 ч.00 мин. </w:t>
      </w:r>
    </w:p>
    <w:p w14:paraId="09000000">
      <w:pPr>
        <w:widowControl w:val="1"/>
        <w:spacing w:after="0" w:before="0" w:line="240" w:lineRule="auto"/>
        <w:ind w:firstLine="0" w:left="-1418" w:right="-426"/>
        <w:jc w:val="center"/>
        <w:rPr>
          <w:rFonts w:ascii="Times New Roman" w:hAnsi="Times New Roman"/>
          <w:b w:val="1"/>
          <w:color w:themeColor="text1" w:val="000000"/>
          <w:sz w:val="22"/>
          <w:highlight w:val="white"/>
          <w:u w:val="single"/>
        </w:rPr>
      </w:pPr>
    </w:p>
    <w:p w14:paraId="0A000000">
      <w:pPr>
        <w:widowControl w:val="1"/>
        <w:spacing w:after="0" w:before="0" w:line="240" w:lineRule="auto"/>
        <w:ind w:firstLine="0" w:left="-1418" w:right="-426"/>
        <w:jc w:val="center"/>
        <w:rPr>
          <w:rFonts w:ascii="Times New Roman" w:hAnsi="Times New Roman"/>
          <w:b w:val="1"/>
          <w:color w:themeColor="text1" w:val="000000"/>
          <w:sz w:val="22"/>
          <w:highlight w:val="white"/>
          <w:u w:val="single"/>
        </w:rPr>
      </w:pPr>
      <w:r>
        <w:rPr>
          <w:rFonts w:ascii="Times New Roman" w:hAnsi="Times New Roman"/>
          <w:b w:val="1"/>
          <w:color w:themeColor="text1" w:val="000000"/>
          <w:sz w:val="22"/>
          <w:highlight w:val="white"/>
          <w:u w:val="single"/>
        </w:rPr>
        <w:t>ПРЕДМЕТ ТОРГОВ:</w:t>
      </w:r>
    </w:p>
    <w:p w14:paraId="0B000000">
      <w:pPr>
        <w:widowControl w:val="1"/>
        <w:spacing w:after="0" w:before="0" w:line="240" w:lineRule="auto"/>
        <w:ind w:firstLine="0" w:left="-1418" w:right="-426"/>
        <w:jc w:val="both"/>
        <w:rPr>
          <w:rFonts w:ascii="Times New Roman" w:hAnsi="Times New Roman"/>
          <w:color w:themeColor="text1" w:val="000000"/>
          <w:sz w:val="22"/>
          <w:u w:val="single"/>
        </w:rPr>
      </w:pPr>
    </w:p>
    <w:p w14:paraId="0C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  <w:u w:val="single"/>
        </w:rPr>
      </w:pPr>
      <w:r>
        <w:rPr>
          <w:rFonts w:ascii="Times New Roman" w:hAnsi="Times New Roman"/>
          <w:color w:themeColor="text1" w:val="000000"/>
          <w:sz w:val="22"/>
          <w:u w:val="single"/>
        </w:rPr>
        <w:t>Лот  1</w:t>
      </w:r>
    </w:p>
    <w:p w14:paraId="0D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  <w:u w:val="none"/>
        </w:rPr>
      </w:pPr>
      <w:r>
        <w:rPr>
          <w:rFonts w:ascii="Times New Roman" w:hAnsi="Times New Roman"/>
          <w:color w:themeColor="text1" w:val="000000"/>
          <w:sz w:val="22"/>
        </w:rPr>
        <w:t xml:space="preserve">Арестованный в пользу взыскателя </w:t>
      </w:r>
      <w:r>
        <w:rPr>
          <w:rFonts w:ascii="Times New Roman" w:hAnsi="Times New Roman"/>
          <w:color w:themeColor="text1" w:val="000000"/>
          <w:sz w:val="22"/>
        </w:rPr>
        <w:t>ТСН СНТ «Стеклянный»</w:t>
      </w:r>
      <w:r>
        <w:rPr>
          <w:rFonts w:ascii="Times New Roman" w:hAnsi="Times New Roman"/>
          <w:color w:themeColor="text1" w:val="000000"/>
          <w:sz w:val="22"/>
        </w:rPr>
        <w:t xml:space="preserve">, принадлежащий </w:t>
      </w:r>
      <w:r>
        <w:rPr>
          <w:rFonts w:ascii="Times New Roman" w:hAnsi="Times New Roman"/>
          <w:color w:themeColor="text1" w:val="000000"/>
          <w:sz w:val="22"/>
        </w:rPr>
        <w:t>должнику Гарбар Л.С. земельный участок (</w:t>
      </w:r>
      <w:r>
        <w:rPr>
          <w:rFonts w:ascii="Times New Roman" w:hAnsi="Times New Roman"/>
          <w:sz w:val="22"/>
        </w:rPr>
        <w:t>Земли сельскохозяйственного назначения</w:t>
      </w:r>
      <w:r>
        <w:rPr>
          <w:rFonts w:ascii="Times New Roman" w:hAnsi="Times New Roman"/>
          <w:color w:themeColor="text1" w:val="000000"/>
          <w:sz w:val="22"/>
        </w:rPr>
        <w:t>)</w:t>
      </w:r>
      <w:r>
        <w:rPr>
          <w:rFonts w:ascii="Times New Roman" w:hAnsi="Times New Roman"/>
          <w:color w:themeColor="text1" w:val="000000"/>
          <w:sz w:val="22"/>
        </w:rPr>
        <w:t xml:space="preserve"> </w:t>
      </w:r>
      <w:r>
        <w:rPr>
          <w:rFonts w:ascii="Times New Roman" w:hAnsi="Times New Roman"/>
          <w:color w:themeColor="text1" w:val="000000"/>
          <w:sz w:val="22"/>
        </w:rPr>
        <w:t>кад</w:t>
      </w:r>
      <w:r>
        <w:rPr>
          <w:rFonts w:ascii="Times New Roman" w:hAnsi="Times New Roman"/>
          <w:color w:themeColor="text1" w:val="000000"/>
          <w:sz w:val="22"/>
        </w:rPr>
        <w:t>.№</w:t>
      </w:r>
      <w:r>
        <w:rPr>
          <w:rFonts w:ascii="Times New Roman" w:hAnsi="Times New Roman"/>
          <w:sz w:val="22"/>
        </w:rPr>
        <w:t>47:07:0155001:234</w:t>
      </w:r>
      <w:r>
        <w:rPr>
          <w:rFonts w:ascii="Times New Roman" w:hAnsi="Times New Roman"/>
          <w:sz w:val="22"/>
        </w:rPr>
        <w:t xml:space="preserve">, </w:t>
      </w:r>
      <w:r>
        <w:rPr>
          <w:rFonts w:ascii="Times New Roman" w:hAnsi="Times New Roman"/>
          <w:color w:themeColor="text1" w:val="000000"/>
          <w:sz w:val="22"/>
        </w:rPr>
        <w:t>общ.пл</w:t>
      </w:r>
      <w:r>
        <w:rPr>
          <w:rFonts w:ascii="Times New Roman" w:hAnsi="Times New Roman"/>
          <w:color w:themeColor="text1" w:val="000000"/>
          <w:sz w:val="22"/>
        </w:rPr>
        <w:t>. 1100</w:t>
      </w:r>
      <w:r>
        <w:rPr>
          <w:rFonts w:ascii="Times New Roman" w:hAnsi="Times New Roman"/>
          <w:sz w:val="22"/>
        </w:rPr>
        <w:t>+/-23</w:t>
      </w:r>
      <w:r>
        <w:rPr>
          <w:rFonts w:ascii="Times New Roman" w:hAnsi="Times New Roman"/>
          <w:color w:themeColor="text1" w:val="000000"/>
          <w:sz w:val="22"/>
        </w:rPr>
        <w:t xml:space="preserve"> </w:t>
      </w:r>
      <w:r>
        <w:rPr>
          <w:rFonts w:ascii="Times New Roman" w:hAnsi="Times New Roman"/>
          <w:color w:themeColor="text1" w:val="000000"/>
          <w:sz w:val="22"/>
        </w:rPr>
        <w:t>кв.м</w:t>
      </w:r>
      <w:r>
        <w:rPr>
          <w:rFonts w:ascii="Times New Roman" w:hAnsi="Times New Roman"/>
          <w:color w:themeColor="text1" w:val="000000"/>
          <w:sz w:val="22"/>
        </w:rPr>
        <w:t xml:space="preserve">., расположенный по адресу: </w:t>
      </w:r>
      <w:r>
        <w:rPr>
          <w:rFonts w:ascii="Times New Roman" w:hAnsi="Times New Roman"/>
          <w:sz w:val="22"/>
        </w:rPr>
        <w:t>Ленинградская область, Всеволожский район, Куйвозовское сельское поселение, 500 м юго-западнее съезда на поселок Стеклянный, по автомобильной дороге Магистральная</w:t>
      </w:r>
      <w:r>
        <w:rPr>
          <w:rFonts w:ascii="Times New Roman" w:hAnsi="Times New Roman"/>
          <w:sz w:val="22"/>
          <w:u w:val="none"/>
        </w:rPr>
        <w:t>. Обременения: з</w:t>
      </w:r>
      <w:r>
        <w:rPr>
          <w:rFonts w:ascii="Times New Roman" w:hAnsi="Times New Roman"/>
          <w:sz w:val="22"/>
        </w:rPr>
        <w:t>апрещения регистрации</w:t>
      </w:r>
      <w:r>
        <w:rPr>
          <w:rFonts w:ascii="Times New Roman" w:hAnsi="Times New Roman"/>
          <w:color w:themeColor="text1" w:val="000000"/>
          <w:sz w:val="22"/>
          <w:u w:val="none"/>
        </w:rPr>
        <w:t xml:space="preserve">. </w:t>
      </w:r>
      <w:r>
        <w:rPr>
          <w:rFonts w:ascii="Times New Roman" w:hAnsi="Times New Roman"/>
          <w:color w:themeColor="text1" w:val="000000"/>
          <w:sz w:val="22"/>
        </w:rPr>
        <w:t xml:space="preserve">Начальная </w:t>
      </w:r>
      <w:r>
        <w:rPr>
          <w:rFonts w:ascii="Times New Roman" w:hAnsi="Times New Roman"/>
          <w:color w:themeColor="text1" w:val="000000"/>
          <w:sz w:val="22"/>
        </w:rPr>
        <w:t>цена: 3 800 000,00</w:t>
      </w:r>
      <w:r>
        <w:rPr>
          <w:rFonts w:ascii="Times New Roman" w:hAnsi="Times New Roman"/>
          <w:color w:themeColor="text1" w:val="000000"/>
          <w:sz w:val="22"/>
        </w:rPr>
        <w:t xml:space="preserve"> руб. Сумма задатка: 570 000,0</w:t>
      </w:r>
      <w:r>
        <w:rPr>
          <w:rFonts w:ascii="Times New Roman" w:hAnsi="Times New Roman"/>
          <w:color w:themeColor="text1" w:val="000000"/>
          <w:sz w:val="22"/>
        </w:rPr>
        <w:t>0</w:t>
      </w:r>
      <w:r>
        <w:rPr>
          <w:rFonts w:ascii="Times New Roman" w:hAnsi="Times New Roman"/>
          <w:color w:themeColor="text1" w:val="000000"/>
          <w:sz w:val="22"/>
        </w:rPr>
        <w:t xml:space="preserve"> руб. Шаг аукциона: 75 000,00 рублей.</w:t>
      </w:r>
    </w:p>
    <w:p w14:paraId="0E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  <w:u w:val="single"/>
        </w:rPr>
      </w:pPr>
      <w:r>
        <w:rPr>
          <w:rFonts w:ascii="Times New Roman" w:hAnsi="Times New Roman"/>
          <w:color w:themeColor="text1" w:val="000000"/>
          <w:sz w:val="22"/>
          <w:u w:val="single"/>
        </w:rPr>
        <w:t xml:space="preserve">Лот 2 </w:t>
      </w:r>
    </w:p>
    <w:p w14:paraId="0F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  <w:u w:val="single"/>
        </w:rPr>
      </w:pPr>
      <w:r>
        <w:rPr>
          <w:rFonts w:ascii="Times New Roman" w:hAnsi="Times New Roman"/>
          <w:color w:themeColor="text1" w:val="000000"/>
          <w:sz w:val="22"/>
        </w:rPr>
        <w:t>Арестованное в пользу взыскателя Комитет имущественных отношений Санкт-Петербурга</w:t>
      </w:r>
      <w:r>
        <w:rPr>
          <w:rFonts w:ascii="Times New Roman" w:hAnsi="Times New Roman"/>
          <w:color w:themeColor="text1" w:val="000000"/>
          <w:sz w:val="22"/>
        </w:rPr>
        <w:t xml:space="preserve">, принадлежащее </w:t>
      </w:r>
      <w:r>
        <w:rPr>
          <w:rFonts w:ascii="Times New Roman" w:hAnsi="Times New Roman"/>
          <w:color w:themeColor="text1" w:val="000000"/>
          <w:sz w:val="22"/>
        </w:rPr>
        <w:t>должнику ООО Скиф нежилое помещение</w:t>
      </w:r>
      <w:r>
        <w:rPr>
          <w:rFonts w:ascii="Times New Roman" w:hAnsi="Times New Roman"/>
          <w:color w:themeColor="text1" w:val="000000"/>
          <w:sz w:val="22"/>
        </w:rPr>
        <w:t xml:space="preserve"> к</w:t>
      </w:r>
      <w:r>
        <w:rPr>
          <w:rFonts w:ascii="Times New Roman" w:hAnsi="Times New Roman"/>
          <w:color w:themeColor="text1" w:val="000000"/>
          <w:sz w:val="22"/>
        </w:rPr>
        <w:t>ад</w:t>
      </w:r>
      <w:r>
        <w:rPr>
          <w:rFonts w:ascii="Times New Roman" w:hAnsi="Times New Roman"/>
          <w:color w:themeColor="text1" w:val="000000"/>
          <w:sz w:val="22"/>
        </w:rPr>
        <w:t>.№</w:t>
      </w:r>
      <w:r>
        <w:rPr>
          <w:rFonts w:ascii="Times New Roman" w:hAnsi="Times New Roman"/>
          <w:sz w:val="22"/>
        </w:rPr>
        <w:t>78:07:0003108:1372</w:t>
      </w:r>
      <w:r>
        <w:rPr>
          <w:rFonts w:ascii="Times New Roman" w:hAnsi="Times New Roman"/>
          <w:sz w:val="22"/>
        </w:rPr>
        <w:t xml:space="preserve">, </w:t>
      </w:r>
      <w:r>
        <w:rPr>
          <w:rFonts w:ascii="Times New Roman" w:hAnsi="Times New Roman"/>
          <w:color w:themeColor="text1" w:val="000000"/>
          <w:sz w:val="22"/>
        </w:rPr>
        <w:t>общ.пл</w:t>
      </w:r>
      <w:r>
        <w:rPr>
          <w:rFonts w:ascii="Times New Roman" w:hAnsi="Times New Roman"/>
          <w:color w:themeColor="text1" w:val="000000"/>
          <w:sz w:val="22"/>
        </w:rPr>
        <w:t xml:space="preserve">. </w:t>
      </w:r>
      <w:r>
        <w:rPr>
          <w:rFonts w:ascii="Times New Roman" w:hAnsi="Times New Roman"/>
          <w:color w:themeColor="text1" w:val="000000"/>
          <w:sz w:val="22"/>
        </w:rPr>
        <w:t>158</w:t>
      </w:r>
      <w:r>
        <w:rPr>
          <w:rFonts w:ascii="Times New Roman" w:hAnsi="Times New Roman"/>
          <w:color w:themeColor="text1" w:val="000000"/>
          <w:sz w:val="22"/>
        </w:rPr>
        <w:t xml:space="preserve"> </w:t>
      </w:r>
      <w:r>
        <w:rPr>
          <w:rFonts w:ascii="Times New Roman" w:hAnsi="Times New Roman"/>
          <w:color w:themeColor="text1" w:val="000000"/>
          <w:sz w:val="22"/>
        </w:rPr>
        <w:t>кв.м</w:t>
      </w:r>
      <w:r>
        <w:rPr>
          <w:rFonts w:ascii="Times New Roman" w:hAnsi="Times New Roman"/>
          <w:color w:themeColor="text1" w:val="000000"/>
          <w:sz w:val="22"/>
        </w:rPr>
        <w:t xml:space="preserve">., расположенное по адресу: </w:t>
      </w:r>
      <w:r>
        <w:rPr>
          <w:rFonts w:ascii="Times New Roman" w:hAnsi="Times New Roman"/>
          <w:sz w:val="22"/>
        </w:rPr>
        <w:t>Российская Федерация, г. Санкт-Петербург, вн.тер.г. муниципальный округ округ Петровский, ул. Лахтинская, д. 1/60 литера А, помещ. 11-Н</w:t>
      </w:r>
      <w:r>
        <w:rPr>
          <w:rFonts w:ascii="Times New Roman" w:hAnsi="Times New Roman"/>
          <w:sz w:val="22"/>
        </w:rPr>
        <w:t xml:space="preserve">. </w:t>
      </w:r>
      <w:r>
        <w:rPr>
          <w:rFonts w:ascii="Times New Roman" w:hAnsi="Times New Roman"/>
          <w:color w:themeColor="text1" w:val="000000"/>
          <w:sz w:val="22"/>
        </w:rPr>
        <w:t>Обременения: з</w:t>
      </w:r>
      <w:r>
        <w:rPr>
          <w:rFonts w:ascii="Times New Roman" w:hAnsi="Times New Roman"/>
          <w:sz w:val="22"/>
        </w:rPr>
        <w:t>апрещения регистрации.</w:t>
      </w:r>
      <w:r>
        <w:rPr>
          <w:rFonts w:ascii="Times New Roman" w:hAnsi="Times New Roman"/>
          <w:color w:themeColor="text1" w:val="000000"/>
          <w:sz w:val="22"/>
        </w:rPr>
        <w:t xml:space="preserve"> </w:t>
      </w:r>
      <w:r>
        <w:rPr>
          <w:rFonts w:ascii="Times New Roman" w:hAnsi="Times New Roman"/>
          <w:color w:themeColor="text1" w:val="000000"/>
          <w:sz w:val="22"/>
        </w:rPr>
        <w:t>С</w:t>
      </w:r>
      <w:r>
        <w:rPr>
          <w:rFonts w:ascii="Times New Roman" w:hAnsi="Times New Roman"/>
          <w:color w:themeColor="text1" w:val="000000"/>
          <w:sz w:val="22"/>
        </w:rPr>
        <w:t>ведения о задолженности по кап. ремонту не предоставлены.</w:t>
      </w:r>
      <w:r>
        <w:rPr>
          <w:rFonts w:ascii="Times New Roman" w:hAnsi="Times New Roman"/>
          <w:color w:themeColor="text1" w:val="000000"/>
          <w:sz w:val="22"/>
        </w:rPr>
        <w:t xml:space="preserve"> </w:t>
      </w:r>
      <w:r>
        <w:rPr>
          <w:rFonts w:ascii="Times New Roman" w:hAnsi="Times New Roman"/>
          <w:color w:themeColor="text1" w:val="000000"/>
          <w:sz w:val="22"/>
        </w:rPr>
        <w:t xml:space="preserve">Начальная </w:t>
      </w:r>
      <w:r>
        <w:rPr>
          <w:rFonts w:ascii="Times New Roman" w:hAnsi="Times New Roman"/>
          <w:color w:themeColor="text1" w:val="000000"/>
          <w:sz w:val="22"/>
        </w:rPr>
        <w:t>цена: 29 988 100,00</w:t>
      </w:r>
      <w:r>
        <w:rPr>
          <w:rFonts w:ascii="Times New Roman" w:hAnsi="Times New Roman"/>
          <w:color w:themeColor="text1" w:val="000000"/>
          <w:sz w:val="22"/>
        </w:rPr>
        <w:t xml:space="preserve"> руб. (НДС не облагается) Сумма задатка: 4 450 000,0</w:t>
      </w:r>
      <w:r>
        <w:rPr>
          <w:rFonts w:ascii="Times New Roman" w:hAnsi="Times New Roman"/>
          <w:color w:themeColor="text1" w:val="000000"/>
          <w:sz w:val="22"/>
        </w:rPr>
        <w:t>0</w:t>
      </w:r>
      <w:r>
        <w:rPr>
          <w:rFonts w:ascii="Times New Roman" w:hAnsi="Times New Roman"/>
          <w:color w:themeColor="text1" w:val="000000"/>
          <w:sz w:val="22"/>
        </w:rPr>
        <w:t xml:space="preserve"> руб. Шаг аукциона: 500 000,00 рублей.</w:t>
      </w:r>
    </w:p>
    <w:p w14:paraId="10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  <w:u w:val="single"/>
        </w:rPr>
      </w:pPr>
      <w:r>
        <w:rPr>
          <w:rFonts w:ascii="Times New Roman" w:hAnsi="Times New Roman"/>
          <w:color w:themeColor="text1" w:val="000000"/>
          <w:sz w:val="22"/>
          <w:u w:val="single"/>
        </w:rPr>
        <w:t>Лот 3</w:t>
      </w:r>
    </w:p>
    <w:p w14:paraId="11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  <w:u w:val="single"/>
        </w:rPr>
      </w:pPr>
      <w:r>
        <w:rPr>
          <w:rFonts w:ascii="Times New Roman" w:hAnsi="Times New Roman"/>
          <w:color w:themeColor="text1" w:val="000000"/>
          <w:sz w:val="22"/>
        </w:rPr>
        <w:t>Арестованное в пользу взыскателей юр.лиц</w:t>
      </w:r>
      <w:r>
        <w:rPr>
          <w:rFonts w:ascii="Times New Roman" w:hAnsi="Times New Roman"/>
          <w:color w:themeColor="text1" w:val="000000"/>
          <w:sz w:val="22"/>
        </w:rPr>
        <w:t xml:space="preserve">, принадлежащее </w:t>
      </w:r>
      <w:r>
        <w:rPr>
          <w:rFonts w:ascii="Times New Roman" w:hAnsi="Times New Roman"/>
          <w:color w:themeColor="text1" w:val="000000"/>
          <w:sz w:val="22"/>
        </w:rPr>
        <w:t>должнику ООО СК Дали нежилое помещение</w:t>
      </w:r>
      <w:r>
        <w:rPr>
          <w:rFonts w:ascii="Times New Roman" w:hAnsi="Times New Roman"/>
          <w:color w:themeColor="text1" w:val="000000"/>
          <w:sz w:val="22"/>
        </w:rPr>
        <w:t xml:space="preserve"> к</w:t>
      </w:r>
      <w:r>
        <w:rPr>
          <w:rFonts w:ascii="Times New Roman" w:hAnsi="Times New Roman"/>
          <w:color w:themeColor="text1" w:val="000000"/>
          <w:sz w:val="22"/>
        </w:rPr>
        <w:t>ад</w:t>
      </w:r>
      <w:r>
        <w:rPr>
          <w:rFonts w:ascii="Times New Roman" w:hAnsi="Times New Roman"/>
          <w:color w:themeColor="text1" w:val="000000"/>
          <w:sz w:val="22"/>
        </w:rPr>
        <w:t>.№</w:t>
      </w:r>
      <w:r>
        <w:rPr>
          <w:rFonts w:ascii="Times New Roman" w:hAnsi="Times New Roman"/>
          <w:sz w:val="22"/>
        </w:rPr>
        <w:t>78:12:0006306:2362</w:t>
      </w:r>
      <w:r>
        <w:rPr>
          <w:rFonts w:ascii="Times New Roman" w:hAnsi="Times New Roman"/>
          <w:sz w:val="22"/>
        </w:rPr>
        <w:t xml:space="preserve">, </w:t>
      </w:r>
      <w:r>
        <w:rPr>
          <w:rFonts w:ascii="Times New Roman" w:hAnsi="Times New Roman"/>
          <w:color w:themeColor="text1" w:val="000000"/>
          <w:sz w:val="22"/>
        </w:rPr>
        <w:t>общ.пл</w:t>
      </w:r>
      <w:r>
        <w:rPr>
          <w:rFonts w:ascii="Times New Roman" w:hAnsi="Times New Roman"/>
          <w:color w:themeColor="text1" w:val="000000"/>
          <w:sz w:val="22"/>
        </w:rPr>
        <w:t xml:space="preserve">. </w:t>
      </w:r>
      <w:r>
        <w:rPr>
          <w:rFonts w:ascii="Times New Roman" w:hAnsi="Times New Roman"/>
          <w:sz w:val="22"/>
        </w:rPr>
        <w:t>55.4</w:t>
      </w:r>
      <w:r>
        <w:rPr>
          <w:rFonts w:ascii="Times New Roman" w:hAnsi="Times New Roman"/>
          <w:color w:themeColor="text1" w:val="000000"/>
          <w:sz w:val="22"/>
        </w:rPr>
        <w:t xml:space="preserve"> </w:t>
      </w:r>
      <w:r>
        <w:rPr>
          <w:rFonts w:ascii="Times New Roman" w:hAnsi="Times New Roman"/>
          <w:color w:themeColor="text1" w:val="000000"/>
          <w:sz w:val="22"/>
        </w:rPr>
        <w:t>кв.м</w:t>
      </w:r>
      <w:r>
        <w:rPr>
          <w:rFonts w:ascii="Times New Roman" w:hAnsi="Times New Roman"/>
          <w:color w:themeColor="text1" w:val="000000"/>
          <w:sz w:val="22"/>
        </w:rPr>
        <w:t xml:space="preserve">., расположенное по адресу: </w:t>
      </w:r>
      <w:r>
        <w:rPr>
          <w:rFonts w:ascii="Times New Roman" w:hAnsi="Times New Roman"/>
          <w:sz w:val="22"/>
        </w:rPr>
        <w:t>Российская Федерация, г. Санкт-Петербург, вн.тер.г. муниципальный округ № 54, пр-кт Большевиков, д. 22 к. 5 литера А, помещ. 1-Н</w:t>
      </w:r>
      <w:r>
        <w:rPr>
          <w:rFonts w:ascii="Times New Roman" w:hAnsi="Times New Roman"/>
          <w:sz w:val="22"/>
        </w:rPr>
        <w:t xml:space="preserve">. </w:t>
      </w:r>
      <w:r>
        <w:rPr>
          <w:rFonts w:ascii="Times New Roman" w:hAnsi="Times New Roman"/>
          <w:color w:themeColor="text1" w:val="000000"/>
          <w:sz w:val="22"/>
        </w:rPr>
        <w:t>Обременения: з</w:t>
      </w:r>
      <w:r>
        <w:rPr>
          <w:rFonts w:ascii="Times New Roman" w:hAnsi="Times New Roman"/>
          <w:sz w:val="22"/>
        </w:rPr>
        <w:t>апрещения регистрации.</w:t>
      </w:r>
      <w:r>
        <w:rPr>
          <w:rFonts w:ascii="Times New Roman" w:hAnsi="Times New Roman"/>
          <w:color w:themeColor="text1" w:val="000000"/>
          <w:sz w:val="22"/>
        </w:rPr>
        <w:t xml:space="preserve"> </w:t>
      </w:r>
      <w:r>
        <w:rPr>
          <w:rFonts w:ascii="Times New Roman" w:hAnsi="Times New Roman"/>
          <w:color w:themeColor="text1" w:val="000000"/>
          <w:sz w:val="22"/>
        </w:rPr>
        <w:t>С</w:t>
      </w:r>
      <w:r>
        <w:rPr>
          <w:rFonts w:ascii="Times New Roman" w:hAnsi="Times New Roman"/>
          <w:color w:themeColor="text1" w:val="000000"/>
          <w:sz w:val="22"/>
        </w:rPr>
        <w:t>ведения о задолженности по кап. ремонту не предоставлены.</w:t>
      </w:r>
      <w:r>
        <w:rPr>
          <w:rFonts w:ascii="Times New Roman" w:hAnsi="Times New Roman"/>
          <w:color w:themeColor="text1" w:val="000000"/>
          <w:sz w:val="22"/>
        </w:rPr>
        <w:t xml:space="preserve"> </w:t>
      </w:r>
      <w:r>
        <w:rPr>
          <w:rFonts w:ascii="Times New Roman" w:hAnsi="Times New Roman"/>
          <w:color w:themeColor="text1" w:val="000000"/>
          <w:sz w:val="22"/>
        </w:rPr>
        <w:t xml:space="preserve">Начальная </w:t>
      </w:r>
      <w:r>
        <w:rPr>
          <w:rFonts w:ascii="Times New Roman" w:hAnsi="Times New Roman"/>
          <w:color w:themeColor="text1" w:val="000000"/>
          <w:sz w:val="22"/>
        </w:rPr>
        <w:t>цена: 8 397 300,00</w:t>
      </w:r>
      <w:r>
        <w:rPr>
          <w:rFonts w:ascii="Times New Roman" w:hAnsi="Times New Roman"/>
          <w:color w:themeColor="text1" w:val="000000"/>
          <w:sz w:val="22"/>
        </w:rPr>
        <w:t xml:space="preserve"> руб. (</w:t>
      </w:r>
      <w:r>
        <w:rPr>
          <w:rFonts w:ascii="Times New Roman" w:hAnsi="Times New Roman"/>
          <w:sz w:val="22"/>
        </w:rPr>
        <w:t>+22% НДС, НДС подлежит оплате победителем торгов отдельно от конечной цены продажи имущества, достигнутой в результате торгов</w:t>
      </w:r>
      <w:r>
        <w:rPr>
          <w:rFonts w:ascii="Times New Roman" w:hAnsi="Times New Roman"/>
          <w:color w:themeColor="text1" w:val="000000"/>
          <w:sz w:val="22"/>
        </w:rPr>
        <w:t>) Сумма задатка: 1 250 000,0</w:t>
      </w:r>
      <w:r>
        <w:rPr>
          <w:rFonts w:ascii="Times New Roman" w:hAnsi="Times New Roman"/>
          <w:color w:themeColor="text1" w:val="000000"/>
          <w:sz w:val="22"/>
        </w:rPr>
        <w:t>0</w:t>
      </w:r>
      <w:r>
        <w:rPr>
          <w:rFonts w:ascii="Times New Roman" w:hAnsi="Times New Roman"/>
          <w:color w:themeColor="text1" w:val="000000"/>
          <w:sz w:val="22"/>
        </w:rPr>
        <w:t xml:space="preserve"> руб. Шаг аукциона: 150 000,00 рублей.</w:t>
      </w:r>
    </w:p>
    <w:p w14:paraId="12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  <w:u w:val="single"/>
        </w:rPr>
      </w:pPr>
      <w:r>
        <w:rPr>
          <w:rFonts w:ascii="Times New Roman" w:hAnsi="Times New Roman"/>
          <w:b w:val="1"/>
          <w:color w:themeColor="text1" w:val="000000"/>
          <w:sz w:val="22"/>
          <w:highlight w:val="white"/>
        </w:rPr>
        <w:t>Задаток должен поступить не позднее 23.11</w:t>
      </w:r>
      <w:r>
        <w:rPr>
          <w:rFonts w:ascii="Times New Roman" w:hAnsi="Times New Roman"/>
          <w:b w:val="1"/>
          <w:color w:themeColor="text1" w:val="000000"/>
          <w:sz w:val="22"/>
        </w:rPr>
        <w:t xml:space="preserve">.2026 г. </w:t>
      </w:r>
      <w:r>
        <w:rPr>
          <w:rFonts w:ascii="Times New Roman" w:hAnsi="Times New Roman"/>
          <w:b w:val="1"/>
          <w:color w:themeColor="text1" w:val="000000"/>
          <w:sz w:val="22"/>
        </w:rPr>
        <w:t xml:space="preserve">на расчетный счет АО </w:t>
      </w:r>
      <w:r>
        <w:rPr>
          <w:rFonts w:ascii="Times New Roman" w:hAnsi="Times New Roman"/>
          <w:b w:val="1"/>
          <w:sz w:val="22"/>
        </w:rPr>
        <w:t>«Электронные торговые системы» https://www.fabrikant.ru/</w:t>
      </w:r>
      <w:r>
        <w:rPr>
          <w:rFonts w:ascii="Times New Roman" w:hAnsi="Times New Roman"/>
          <w:b w:val="1"/>
          <w:sz w:val="22"/>
        </w:rPr>
        <w:t xml:space="preserve">. </w:t>
      </w:r>
      <w:r>
        <w:rPr>
          <w:rFonts w:ascii="Times New Roman" w:hAnsi="Times New Roman"/>
          <w:b w:val="1"/>
          <w:color w:themeColor="text1" w:val="000000"/>
          <w:sz w:val="22"/>
        </w:rPr>
        <w:t xml:space="preserve">Условия зачисления, а </w:t>
      </w:r>
      <w:r>
        <w:rPr>
          <w:rFonts w:ascii="Times New Roman" w:hAnsi="Times New Roman"/>
          <w:b w:val="1"/>
          <w:color w:themeColor="text1" w:val="000000"/>
          <w:sz w:val="22"/>
        </w:rPr>
        <w:t>также  возврата</w:t>
      </w:r>
      <w:r>
        <w:rPr>
          <w:rFonts w:ascii="Times New Roman" w:hAnsi="Times New Roman"/>
          <w:b w:val="1"/>
          <w:color w:themeColor="text1" w:val="000000"/>
          <w:sz w:val="22"/>
        </w:rPr>
        <w:t xml:space="preserve"> задатка </w:t>
      </w:r>
      <w:r>
        <w:rPr>
          <w:rFonts w:ascii="Times New Roman" w:hAnsi="Times New Roman"/>
          <w:b w:val="1"/>
          <w:color w:themeColor="text1" w:val="000000"/>
          <w:sz w:val="22"/>
        </w:rPr>
        <w:t xml:space="preserve">установлены регламентом </w:t>
      </w:r>
      <w:r>
        <w:rPr>
          <w:rFonts w:ascii="Times New Roman" w:hAnsi="Times New Roman"/>
          <w:b w:val="1"/>
          <w:color w:themeColor="text1" w:val="000000"/>
          <w:sz w:val="22"/>
        </w:rPr>
        <w:t xml:space="preserve"> </w:t>
      </w:r>
      <w:r>
        <w:rPr>
          <w:rFonts w:ascii="Times New Roman" w:hAnsi="Times New Roman"/>
          <w:b w:val="1"/>
          <w:color w:themeColor="text1" w:val="000000"/>
          <w:sz w:val="22"/>
        </w:rPr>
        <w:t>АО</w:t>
      </w:r>
      <w:r>
        <w:rPr>
          <w:rFonts w:ascii="Times New Roman" w:hAnsi="Times New Roman"/>
          <w:b w:val="1"/>
          <w:sz w:val="22"/>
        </w:rPr>
        <w:t xml:space="preserve"> «Электронные торговые системы»</w:t>
      </w:r>
      <w:r>
        <w:rPr>
          <w:rFonts w:ascii="Times New Roman" w:hAnsi="Times New Roman"/>
          <w:b w:val="1"/>
          <w:color w:themeColor="text1" w:val="000000"/>
          <w:sz w:val="22"/>
          <w:highlight w:val="white"/>
        </w:rPr>
        <w:t>.</w:t>
      </w:r>
    </w:p>
    <w:p w14:paraId="13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b w:val="1"/>
          <w:color w:themeColor="text1" w:val="000000"/>
          <w:sz w:val="22"/>
          <w:u w:val="single"/>
        </w:rPr>
      </w:pPr>
      <w:r>
        <w:rPr>
          <w:rFonts w:ascii="Times New Roman" w:hAnsi="Times New Roman"/>
          <w:b w:val="1"/>
          <w:color w:themeColor="text1" w:val="000000"/>
          <w:sz w:val="22"/>
          <w:u w:val="single"/>
        </w:rPr>
        <w:t>Порядок оформления участия в торгах</w:t>
      </w:r>
    </w:p>
    <w:p w14:paraId="14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b w:val="1"/>
          <w:color w:themeColor="text1" w:val="000000"/>
          <w:sz w:val="22"/>
        </w:rPr>
      </w:pPr>
      <w:r>
        <w:rPr>
          <w:rFonts w:ascii="Times New Roman" w:hAnsi="Times New Roman"/>
          <w:color w:themeColor="text1" w:val="000000"/>
          <w:sz w:val="22"/>
        </w:rPr>
        <w:t>Для участия в торгах необходимо зарегистрироваться на</w:t>
      </w:r>
      <w:r>
        <w:rPr>
          <w:rFonts w:ascii="Times New Roman" w:hAnsi="Times New Roman"/>
          <w:color w:themeColor="text1" w:val="000000"/>
          <w:sz w:val="22"/>
        </w:rPr>
        <w:t xml:space="preserve"> ЭТП </w:t>
      </w:r>
      <w:r>
        <w:rPr>
          <w:rFonts w:ascii="Times New Roman" w:hAnsi="Times New Roman"/>
          <w:sz w:val="22"/>
        </w:rPr>
        <w:t>АО «Электронные торговые системы» https://www.fabrikant.ru/</w:t>
      </w:r>
      <w:r>
        <w:rPr>
          <w:rFonts w:ascii="Times New Roman" w:hAnsi="Times New Roman"/>
          <w:sz w:val="22"/>
        </w:rPr>
        <w:t>.</w:t>
      </w:r>
    </w:p>
    <w:p w14:paraId="15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b w:val="1"/>
          <w:color w:themeColor="text1" w:val="000000"/>
          <w:sz w:val="22"/>
        </w:rPr>
      </w:pPr>
      <w:r>
        <w:rPr>
          <w:rFonts w:ascii="Times New Roman" w:hAnsi="Times New Roman"/>
          <w:color w:themeColor="text1" w:val="000000"/>
          <w:sz w:val="22"/>
        </w:rPr>
        <w:t>Срок регистрации на ЭТП в соответствии с регламентом электронной площадки. К то</w:t>
      </w:r>
      <w:r>
        <w:rPr>
          <w:rFonts w:ascii="Times New Roman" w:hAnsi="Times New Roman"/>
          <w:color w:themeColor="text1" w:val="000000"/>
          <w:sz w:val="22"/>
        </w:rPr>
        <w:t>ргам допускаются любые лица, предоставившие заявки на участие в торгах с помощью электронного документооборота на ЭТП, подписанные электронно-цифровой подписью (далее-ЭЦП) с необходимым комплектом документов (электронные скан-копии с подлинника документа):</w:t>
      </w:r>
    </w:p>
    <w:p w14:paraId="16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</w:rPr>
      </w:pPr>
      <w:r>
        <w:rPr>
          <w:rFonts w:ascii="Times New Roman" w:hAnsi="Times New Roman"/>
          <w:color w:themeColor="text1" w:val="000000"/>
          <w:sz w:val="22"/>
        </w:rPr>
        <w:t>1. Заявку на участие в торгах по установленной форме. (подписанную ЭЦП).</w:t>
      </w:r>
    </w:p>
    <w:p w14:paraId="17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</w:rPr>
      </w:pPr>
      <w:r>
        <w:rPr>
          <w:rFonts w:ascii="Times New Roman" w:hAnsi="Times New Roman"/>
          <w:color w:themeColor="text1" w:val="000000"/>
          <w:sz w:val="22"/>
        </w:rPr>
        <w:t xml:space="preserve">2.Документ, подтверждающий внесение претендентом задатка в соответствии с </w:t>
      </w:r>
      <w:r>
        <w:rPr>
          <w:rFonts w:ascii="Times New Roman" w:hAnsi="Times New Roman"/>
          <w:color w:themeColor="text1" w:val="000000"/>
          <w:sz w:val="22"/>
        </w:rPr>
        <w:t>извещением  (</w:t>
      </w:r>
      <w:r>
        <w:rPr>
          <w:rFonts w:ascii="Times New Roman" w:hAnsi="Times New Roman"/>
          <w:color w:themeColor="text1" w:val="000000"/>
          <w:sz w:val="22"/>
        </w:rPr>
        <w:t>Платежное поручение с отметкой банка или чек-ордер).</w:t>
      </w:r>
    </w:p>
    <w:p w14:paraId="18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</w:rPr>
      </w:pPr>
      <w:r>
        <w:rPr>
          <w:rFonts w:ascii="Times New Roman" w:hAnsi="Times New Roman"/>
          <w:color w:themeColor="text1" w:val="000000"/>
          <w:sz w:val="22"/>
        </w:rPr>
        <w:t xml:space="preserve">3.Надлежащим образом </w:t>
      </w:r>
      <w:r>
        <w:rPr>
          <w:rFonts w:ascii="Times New Roman" w:hAnsi="Times New Roman"/>
          <w:b w:val="1"/>
          <w:color w:themeColor="text1" w:val="000000"/>
          <w:sz w:val="22"/>
        </w:rPr>
        <w:t>оформленная доверенность</w:t>
      </w:r>
      <w:r>
        <w:rPr>
          <w:rFonts w:ascii="Times New Roman" w:hAnsi="Times New Roman"/>
          <w:color w:themeColor="text1" w:val="000000"/>
          <w:sz w:val="22"/>
        </w:rPr>
        <w:t xml:space="preserve"> на лицо, имеющее право действовать от имени претендента, если заявка подается представителем претендента, либо агентский договор.</w:t>
      </w:r>
    </w:p>
    <w:p w14:paraId="19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color w:themeColor="text1" w:val="000000"/>
          <w:sz w:val="22"/>
        </w:rPr>
        <w:t xml:space="preserve">4. </w:t>
      </w:r>
      <w:r>
        <w:rPr>
          <w:rFonts w:ascii="Times New Roman" w:hAnsi="Times New Roman"/>
          <w:b w:val="1"/>
          <w:color w:themeColor="text1" w:val="000000"/>
          <w:sz w:val="22"/>
        </w:rPr>
        <w:t xml:space="preserve"> </w:t>
      </w:r>
      <w:r>
        <w:rPr>
          <w:rFonts w:ascii="Times New Roman" w:hAnsi="Times New Roman"/>
          <w:b w:val="1"/>
          <w:sz w:val="22"/>
        </w:rPr>
        <w:t>Согласие на обработку персональных данных, которое должно быть оформлено отдельно от иной информации и (или) документов, которые подтверждает и (или) подписывает субъект персональных данных</w:t>
      </w:r>
      <w:r>
        <w:rPr>
          <w:rFonts w:ascii="Times New Roman" w:hAnsi="Times New Roman"/>
          <w:color w:themeColor="text1" w:val="000000"/>
          <w:sz w:val="22"/>
        </w:rPr>
        <w:t xml:space="preserve">, также </w:t>
      </w:r>
      <w:r>
        <w:rPr>
          <w:rFonts w:ascii="Times New Roman" w:hAnsi="Times New Roman"/>
          <w:b w:val="1"/>
          <w:sz w:val="22"/>
        </w:rPr>
        <w:t>Согласие на обработку персональных данных п</w:t>
      </w:r>
      <w:r>
        <w:rPr>
          <w:rFonts w:ascii="Times New Roman" w:hAnsi="Times New Roman"/>
          <w:b w:val="1"/>
          <w:color w:themeColor="text1" w:val="000000"/>
          <w:sz w:val="22"/>
        </w:rPr>
        <w:t>редставителя Претендента в случае подачи документов от имени Претендента</w:t>
      </w:r>
      <w:r>
        <w:rPr>
          <w:rFonts w:ascii="Times New Roman" w:hAnsi="Times New Roman"/>
          <w:b w:val="1"/>
          <w:sz w:val="22"/>
        </w:rPr>
        <w:t>, которое должно быть оформлено отдельно от иной информации и (или) документов, которые подтверждает и (или) подписывает субъект персональных данных</w:t>
      </w:r>
    </w:p>
    <w:p w14:paraId="1A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</w:rPr>
      </w:pPr>
      <w:r>
        <w:rPr>
          <w:rFonts w:ascii="Times New Roman" w:hAnsi="Times New Roman"/>
          <w:b w:val="1"/>
          <w:color w:themeColor="text1" w:val="000000"/>
          <w:sz w:val="22"/>
          <w:u w:val="single"/>
        </w:rPr>
        <w:t>Для юридических лиц:</w:t>
      </w:r>
    </w:p>
    <w:p w14:paraId="1B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</w:rPr>
      </w:pPr>
      <w:r>
        <w:rPr>
          <w:rFonts w:ascii="Times New Roman" w:hAnsi="Times New Roman"/>
          <w:color w:themeColor="text1" w:val="000000"/>
          <w:sz w:val="22"/>
        </w:rPr>
        <w:t xml:space="preserve"> 1. нотариально заверенные копии учредительных документов и свидетельства о государственной регистрации</w:t>
      </w:r>
      <w:r>
        <w:rPr>
          <w:rFonts w:ascii="Times New Roman" w:hAnsi="Times New Roman"/>
          <w:color w:themeColor="text1" w:val="000000"/>
          <w:sz w:val="22"/>
        </w:rPr>
        <w:t>;</w:t>
      </w:r>
      <w:r>
        <w:rPr>
          <w:rFonts w:ascii="Times New Roman" w:hAnsi="Times New Roman"/>
          <w:color w:themeColor="text1" w:val="000000"/>
          <w:sz w:val="22"/>
        </w:rPr>
        <w:t xml:space="preserve">  </w:t>
      </w:r>
    </w:p>
    <w:p w14:paraId="1C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</w:rPr>
      </w:pPr>
      <w:r>
        <w:rPr>
          <w:rFonts w:ascii="Times New Roman" w:hAnsi="Times New Roman"/>
          <w:color w:themeColor="text1" w:val="000000"/>
          <w:sz w:val="22"/>
        </w:rPr>
        <w:t xml:space="preserve">2. надлежащим образом заверенные копии документов, подтверждающие полномочия органов управления претендента (выписки из протоколов, копии приказов), доверенность на имя представителя, имеющего право действовать от имени Претендента; </w:t>
      </w:r>
    </w:p>
    <w:p w14:paraId="1D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</w:rPr>
      </w:pPr>
      <w:r>
        <w:rPr>
          <w:rFonts w:ascii="Times New Roman" w:hAnsi="Times New Roman"/>
          <w:color w:themeColor="text1" w:val="000000"/>
          <w:sz w:val="22"/>
        </w:rPr>
        <w:t xml:space="preserve">3. письменное решение соответствующего органа управления претендента, разрешающее приобретение имущества, если это необходимо в соответствии с учредительными документами претендента и действующим законодательством; </w:t>
      </w:r>
    </w:p>
    <w:p w14:paraId="1E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</w:rPr>
      </w:pPr>
      <w:r>
        <w:rPr>
          <w:rFonts w:ascii="Times New Roman" w:hAnsi="Times New Roman"/>
          <w:color w:themeColor="text1" w:val="000000"/>
          <w:sz w:val="22"/>
        </w:rPr>
        <w:t xml:space="preserve">4. выписка из торгового реестра страны происхождения или иное эквивалентное доказательство юридического статуса для юридических лиц – нерезидентов РФ. </w:t>
      </w:r>
    </w:p>
    <w:p w14:paraId="1F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</w:rPr>
      </w:pPr>
      <w:r>
        <w:rPr>
          <w:rFonts w:ascii="Times New Roman" w:hAnsi="Times New Roman"/>
          <w:b w:val="1"/>
          <w:color w:themeColor="text1" w:val="000000"/>
          <w:sz w:val="22"/>
          <w:u w:val="single"/>
        </w:rPr>
        <w:t xml:space="preserve">Для физических лиц: </w:t>
      </w:r>
    </w:p>
    <w:p w14:paraId="20000000">
      <w:pPr>
        <w:widowControl w:val="1"/>
        <w:numPr>
          <w:ilvl w:val="0"/>
          <w:numId w:val="1"/>
        </w:numPr>
        <w:spacing w:after="0" w:before="0" w:line="240" w:lineRule="auto"/>
        <w:ind w:firstLine="208" w:left="-1058" w:right="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color w:themeColor="text1" w:val="000000"/>
          <w:sz w:val="22"/>
        </w:rPr>
        <w:t>Копию паспорта (все страницы). Также все страницы паспорта представителя Претендента в случае подачи документов от имени Претендента.</w:t>
      </w:r>
    </w:p>
    <w:p w14:paraId="21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b w:val="1"/>
          <w:color w:themeColor="text1" w:val="000000"/>
          <w:sz w:val="22"/>
          <w:u w:val="single"/>
        </w:rPr>
      </w:pPr>
      <w:r>
        <w:rPr>
          <w:rFonts w:ascii="Times New Roman" w:hAnsi="Times New Roman"/>
          <w:b w:val="1"/>
          <w:color w:themeColor="text1" w:val="000000"/>
          <w:sz w:val="22"/>
          <w:u w:val="single"/>
        </w:rPr>
        <w:t>Для индивидуальных предпринимателей:</w:t>
      </w:r>
    </w:p>
    <w:p w14:paraId="22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</w:rPr>
      </w:pPr>
      <w:r>
        <w:rPr>
          <w:rFonts w:ascii="Times New Roman" w:hAnsi="Times New Roman"/>
          <w:color w:themeColor="text1" w:val="000000"/>
          <w:sz w:val="22"/>
        </w:rPr>
        <w:t>- документы по списку для физических лиц;</w:t>
      </w:r>
    </w:p>
    <w:p w14:paraId="23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color w:themeColor="text1" w:val="000000"/>
          <w:sz w:val="22"/>
        </w:rPr>
      </w:pPr>
      <w:r>
        <w:rPr>
          <w:rFonts w:ascii="Times New Roman" w:hAnsi="Times New Roman"/>
          <w:color w:themeColor="text1" w:val="000000"/>
          <w:sz w:val="22"/>
        </w:rPr>
        <w:t>- копия свидетельства о внесении физического лица в Единый государственный реестр индивидуальных предпринимателей;</w:t>
      </w:r>
    </w:p>
    <w:p w14:paraId="24000000">
      <w:pPr>
        <w:pStyle w:val="Style_1"/>
        <w:widowControl w:val="1"/>
        <w:spacing w:after="0" w:before="0"/>
        <w:ind w:firstLine="568" w:left="-1418" w:right="1"/>
        <w:jc w:val="both"/>
        <w:rPr>
          <w:rFonts w:ascii="Times New Roman" w:hAnsi="Times New Roman"/>
          <w:color w:themeColor="text1" w:val="000000"/>
          <w:sz w:val="22"/>
        </w:rPr>
      </w:pPr>
      <w:r>
        <w:rPr>
          <w:rFonts w:ascii="Times New Roman" w:hAnsi="Times New Roman"/>
          <w:color w:themeColor="text1" w:val="000000"/>
          <w:sz w:val="22"/>
        </w:rPr>
        <w:t>- декларация о доходах на последнюю отчётную дату.</w:t>
      </w:r>
    </w:p>
    <w:p w14:paraId="25000000">
      <w:pPr>
        <w:pStyle w:val="Style_1"/>
        <w:widowControl w:val="1"/>
        <w:spacing w:after="0" w:before="0"/>
        <w:ind w:firstLine="568" w:left="-1418" w:right="1"/>
        <w:jc w:val="both"/>
        <w:rPr>
          <w:rFonts w:ascii="Times New Roman" w:hAnsi="Times New Roman"/>
          <w:b w:val="1"/>
          <w:color w:themeColor="text1" w:val="000000"/>
          <w:sz w:val="22"/>
          <w:u w:val="single"/>
        </w:rPr>
      </w:pPr>
      <w:r>
        <w:rPr>
          <w:rFonts w:ascii="Times New Roman" w:hAnsi="Times New Roman"/>
          <w:b w:val="1"/>
          <w:color w:themeColor="text1" w:val="000000"/>
          <w:sz w:val="22"/>
          <w:u w:val="single"/>
        </w:rPr>
        <w:t>Физические лица - иностранные граждане и лица без гражданства (в том числе и представители) дополнительно предоставляют:</w:t>
      </w:r>
    </w:p>
    <w:p w14:paraId="26000000">
      <w:pPr>
        <w:pStyle w:val="Style_1"/>
        <w:widowControl w:val="1"/>
        <w:spacing w:after="0" w:before="0"/>
        <w:ind w:firstLine="568" w:left="-1418" w:right="1"/>
        <w:jc w:val="both"/>
        <w:rPr>
          <w:rFonts w:ascii="Times New Roman" w:hAnsi="Times New Roman"/>
          <w:color w:themeColor="text1" w:val="000000"/>
          <w:sz w:val="22"/>
        </w:rPr>
      </w:pPr>
      <w:r>
        <w:rPr>
          <w:rFonts w:ascii="Times New Roman" w:hAnsi="Times New Roman"/>
          <w:color w:themeColor="text1" w:val="000000"/>
          <w:sz w:val="22"/>
        </w:rPr>
        <w:t>1. Документы, подтверждающие в соответствии с действующим законодательством их законное пребывание (проживание) на территории Российской Федерации</w:t>
      </w:r>
      <w:r>
        <w:rPr>
          <w:rFonts w:ascii="Times New Roman" w:hAnsi="Times New Roman"/>
          <w:color w:themeColor="text1" w:val="000000"/>
          <w:sz w:val="22"/>
        </w:rPr>
        <w:t>, в том числе миграционную карту. Документы, предоставляемые иностранным гражданином, и лицом без гражданства должны быть легализованы, документы, составленные на иностранном языке, должны сопровождаться их нотариально заверенным переводом на русский язык.</w:t>
      </w:r>
    </w:p>
    <w:p w14:paraId="27000000">
      <w:pPr>
        <w:pStyle w:val="Style_1"/>
        <w:widowControl w:val="1"/>
        <w:spacing w:after="0" w:before="0"/>
        <w:ind w:firstLine="568" w:left="-1418" w:right="1"/>
        <w:jc w:val="both"/>
        <w:rPr>
          <w:rFonts w:ascii="Times New Roman" w:hAnsi="Times New Roman"/>
          <w:b w:val="0"/>
          <w:sz w:val="22"/>
        </w:rPr>
      </w:pPr>
      <w:r>
        <w:rPr>
          <w:rFonts w:ascii="Times New Roman" w:hAnsi="Times New Roman"/>
          <w:color w:themeColor="text1" w:val="000000"/>
          <w:sz w:val="22"/>
        </w:rPr>
        <w:t xml:space="preserve">Подать заявку на участие в торгах заинтересованные лица могут на ЭТП по адресу </w:t>
      </w:r>
      <w:r>
        <w:rPr>
          <w:rFonts w:ascii="Times New Roman" w:hAnsi="Times New Roman"/>
          <w:b w:val="0"/>
          <w:sz w:val="22"/>
        </w:rPr>
        <w:t>https://www.fabrikant.ru/</w:t>
      </w:r>
    </w:p>
    <w:p w14:paraId="28000000">
      <w:pPr>
        <w:pStyle w:val="Style_1"/>
        <w:widowControl w:val="1"/>
        <w:spacing w:after="0" w:before="0"/>
        <w:ind w:firstLine="568" w:left="-1418" w:right="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color w:themeColor="text1" w:val="000000"/>
          <w:sz w:val="22"/>
        </w:rPr>
        <w:t xml:space="preserve"> Заявки на уча</w:t>
      </w:r>
      <w:r>
        <w:rPr>
          <w:rFonts w:ascii="Times New Roman" w:hAnsi="Times New Roman"/>
          <w:sz w:val="22"/>
        </w:rPr>
        <w:t xml:space="preserve">стие в аукционе с прилагаемыми к ним документами, подписанные электронной цифровой подписью, направляются в электронной форме на ЭТП </w:t>
      </w:r>
      <w:r>
        <w:rPr>
          <w:rFonts w:ascii="Times New Roman" w:hAnsi="Times New Roman"/>
          <w:b w:val="0"/>
          <w:sz w:val="22"/>
        </w:rPr>
        <w:t>https://www.fabrikant.ru/</w:t>
      </w:r>
      <w:r>
        <w:rPr>
          <w:rFonts w:ascii="Times New Roman" w:hAnsi="Times New Roman"/>
          <w:b w:val="0"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>в</w:t>
      </w:r>
      <w:r>
        <w:rPr>
          <w:rFonts w:ascii="Times New Roman" w:hAnsi="Times New Roman"/>
          <w:sz w:val="22"/>
        </w:rPr>
        <w:t xml:space="preserve"> период </w:t>
      </w:r>
      <w:r>
        <w:rPr>
          <w:rFonts w:ascii="Times New Roman" w:hAnsi="Times New Roman"/>
          <w:sz w:val="22"/>
        </w:rPr>
        <w:t xml:space="preserve">с </w:t>
      </w:r>
      <w:r>
        <w:rPr>
          <w:rFonts w:ascii="Times New Roman" w:hAnsi="Times New Roman"/>
          <w:sz w:val="22"/>
        </w:rPr>
        <w:t xml:space="preserve"> 05.11.202</w:t>
      </w:r>
      <w:r>
        <w:rPr>
          <w:rFonts w:ascii="Times New Roman" w:hAnsi="Times New Roman"/>
          <w:sz w:val="22"/>
        </w:rPr>
        <w:t>6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 с 10</w:t>
      </w:r>
      <w:r>
        <w:rPr>
          <w:rFonts w:ascii="Times New Roman" w:hAnsi="Times New Roman"/>
          <w:sz w:val="22"/>
        </w:rPr>
        <w:t>-00  по 20.11</w:t>
      </w:r>
      <w:r>
        <w:rPr>
          <w:rFonts w:ascii="Times New Roman" w:hAnsi="Times New Roman"/>
          <w:sz w:val="22"/>
        </w:rPr>
        <w:t>.202</w:t>
      </w:r>
      <w:r>
        <w:rPr>
          <w:rFonts w:ascii="Times New Roman" w:hAnsi="Times New Roman"/>
          <w:sz w:val="22"/>
        </w:rPr>
        <w:t>6</w:t>
      </w:r>
      <w:r>
        <w:rPr>
          <w:rFonts w:ascii="Times New Roman" w:hAnsi="Times New Roman"/>
          <w:sz w:val="22"/>
        </w:rPr>
        <w:t>6</w:t>
      </w:r>
      <w:r>
        <w:rPr>
          <w:rFonts w:ascii="Times New Roman" w:hAnsi="Times New Roman"/>
          <w:sz w:val="22"/>
        </w:rPr>
        <w:t xml:space="preserve"> г. до 16-00 мин.</w:t>
      </w:r>
      <w:r>
        <w:rPr>
          <w:rFonts w:ascii="Times New Roman" w:hAnsi="Times New Roman"/>
          <w:sz w:val="22"/>
        </w:rPr>
        <w:t xml:space="preserve"> </w:t>
      </w:r>
    </w:p>
    <w:p w14:paraId="29000000">
      <w:pPr>
        <w:widowControl w:val="1"/>
        <w:spacing w:after="0" w:before="0" w:line="240" w:lineRule="auto"/>
        <w:ind w:firstLine="568" w:left="-1418" w:right="1"/>
        <w:jc w:val="both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>Подведение итогов приема заявок осуществляется 25.11.2026</w:t>
      </w:r>
      <w:r>
        <w:rPr>
          <w:rFonts w:ascii="Times New Roman" w:hAnsi="Times New Roman"/>
          <w:b w:val="1"/>
          <w:sz w:val="22"/>
        </w:rPr>
        <w:t xml:space="preserve"> в 12 часов 00 минут.</w:t>
      </w:r>
    </w:p>
    <w:p w14:paraId="2A000000">
      <w:pPr>
        <w:pStyle w:val="Style_1"/>
        <w:widowControl w:val="1"/>
        <w:spacing w:after="0" w:before="0"/>
        <w:ind w:firstLine="568" w:left="-1418" w:right="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Получить образец заявки на участие в торгах по установленной форме, заинтересованные лица могут на </w:t>
      </w:r>
      <w:r>
        <w:rPr>
          <w:rFonts w:ascii="Times New Roman" w:hAnsi="Times New Roman"/>
          <w:sz w:val="22"/>
        </w:rPr>
        <w:t>ЭТП. Ознакомиться с дополнительной информацией о предмете торгов, заинтересованные лица могут в Межрегиональном территориальном управлении Федерального агентства по управлению государственным имуществом в городе Санкт-Петербурге и Ленинградской области,</w:t>
      </w:r>
      <w:r>
        <w:rPr>
          <w:rFonts w:ascii="Times New Roman" w:hAnsi="Times New Roman"/>
          <w:sz w:val="22"/>
        </w:rPr>
        <w:t xml:space="preserve"> тел</w:t>
      </w:r>
      <w:r>
        <w:rPr>
          <w:rFonts w:ascii="Times New Roman" w:hAnsi="Times New Roman"/>
          <w:color w:val="FF0000"/>
          <w:sz w:val="22"/>
        </w:rPr>
        <w:t>: (812) 643-55-94 (доб. 9115)</w:t>
      </w:r>
      <w:r>
        <w:rPr>
          <w:rFonts w:ascii="Times New Roman" w:hAnsi="Times New Roman"/>
          <w:sz w:val="22"/>
        </w:rPr>
        <w:t xml:space="preserve"> по рабочим дням с 11-00 до 16-00 ч. в дни приема заявок, а также на сайте </w:t>
      </w:r>
      <w:r>
        <w:rPr>
          <w:rStyle w:val="Style_2_ch"/>
          <w:rFonts w:ascii="Times New Roman" w:hAnsi="Times New Roman"/>
          <w:sz w:val="22"/>
        </w:rPr>
        <w:fldChar w:fldCharType="begin"/>
      </w:r>
      <w:r>
        <w:rPr>
          <w:rStyle w:val="Style_2_ch"/>
          <w:rFonts w:ascii="Times New Roman" w:hAnsi="Times New Roman"/>
          <w:sz w:val="22"/>
        </w:rPr>
        <w:instrText>HYPERLINK "http://www.torgi.gov.ru/" \o "http://www.torgi.gov.ru/"</w:instrText>
      </w:r>
      <w:r>
        <w:rPr>
          <w:rStyle w:val="Style_2_ch"/>
          <w:rFonts w:ascii="Times New Roman" w:hAnsi="Times New Roman"/>
          <w:sz w:val="22"/>
        </w:rPr>
        <w:fldChar w:fldCharType="separate"/>
      </w:r>
      <w:r>
        <w:rPr>
          <w:rStyle w:val="Style_2_ch"/>
          <w:rFonts w:ascii="Times New Roman" w:hAnsi="Times New Roman"/>
          <w:sz w:val="22"/>
        </w:rPr>
        <w:t>www.torgi.gov.ru</w:t>
      </w:r>
      <w:r>
        <w:rPr>
          <w:rStyle w:val="Style_2_ch"/>
          <w:rFonts w:ascii="Times New Roman" w:hAnsi="Times New Roman"/>
          <w:sz w:val="22"/>
        </w:rPr>
        <w:fldChar w:fldCharType="end"/>
      </w:r>
      <w:r>
        <w:rPr>
          <w:rFonts w:ascii="Times New Roman" w:hAnsi="Times New Roman"/>
          <w:sz w:val="22"/>
        </w:rPr>
        <w:t xml:space="preserve">. </w:t>
      </w:r>
    </w:p>
    <w:p w14:paraId="2B000000">
      <w:pPr>
        <w:pStyle w:val="Style_1"/>
        <w:widowControl w:val="1"/>
        <w:spacing w:after="0" w:before="0"/>
        <w:ind w:firstLine="568" w:left="-1418" w:right="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Согласно п. 5 ст. 449.1 ГК РФ в публичных торгах не могут участвовать должник, организации, на которые </w:t>
      </w:r>
    </w:p>
    <w:p w14:paraId="2C000000">
      <w:pPr>
        <w:pStyle w:val="Style_1"/>
        <w:widowControl w:val="1"/>
        <w:spacing w:after="0" w:before="0"/>
        <w:ind w:firstLine="568" w:left="-1418" w:right="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возложены оценка и реализация имущества должника, и работники указанных организаций, должностные лица органов </w:t>
      </w:r>
      <w:r>
        <w:rPr>
          <w:rFonts w:ascii="Times New Roman" w:hAnsi="Times New Roman"/>
          <w:sz w:val="22"/>
        </w:rPr>
        <w:t>государственной</w:t>
      </w:r>
      <w:r>
        <w:rPr>
          <w:rFonts w:ascii="Times New Roman" w:hAnsi="Times New Roman"/>
          <w:sz w:val="22"/>
        </w:rPr>
        <w:t xml:space="preserve"> власти, органов местного самоуправлен</w:t>
      </w:r>
      <w:r>
        <w:rPr>
          <w:rFonts w:ascii="Times New Roman" w:hAnsi="Times New Roman"/>
          <w:sz w:val="22"/>
        </w:rPr>
        <w:t xml:space="preserve">ия, чье участие в торгах может оказать влияние на условия и результаты торгов, а также члены </w:t>
      </w:r>
      <w:r>
        <w:rPr>
          <w:rFonts w:ascii="Times New Roman" w:hAnsi="Times New Roman"/>
          <w:sz w:val="22"/>
        </w:rPr>
        <w:t>семей</w:t>
      </w:r>
      <w:r>
        <w:rPr>
          <w:rFonts w:ascii="Times New Roman" w:hAnsi="Times New Roman"/>
          <w:sz w:val="22"/>
        </w:rPr>
        <w:t xml:space="preserve"> соответствующих физических лиц. </w:t>
      </w:r>
    </w:p>
    <w:p w14:paraId="2D000000">
      <w:pPr>
        <w:spacing w:after="0" w:before="0" w:line="240" w:lineRule="auto"/>
        <w:ind w:firstLine="568" w:left="-1418" w:right="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 торгам будут не допущены лица подавшие заявки в случаях, если:</w:t>
      </w:r>
    </w:p>
    <w:p w14:paraId="2E000000">
      <w:pPr>
        <w:spacing w:after="0" w:before="0" w:line="240" w:lineRule="auto"/>
        <w:ind w:firstLine="568" w:left="-1418" w:right="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заявка на участие в торгах и прилагае</w:t>
      </w:r>
      <w:r>
        <w:rPr>
          <w:rFonts w:ascii="Times New Roman" w:hAnsi="Times New Roman"/>
          <w:sz w:val="22"/>
        </w:rPr>
        <w:t xml:space="preserve">мых к </w:t>
      </w:r>
      <w:r>
        <w:rPr>
          <w:rFonts w:ascii="Times New Roman" w:hAnsi="Times New Roman"/>
          <w:sz w:val="22"/>
        </w:rPr>
        <w:t>ней</w:t>
      </w:r>
      <w:r>
        <w:rPr>
          <w:rFonts w:ascii="Times New Roman" w:hAnsi="Times New Roman"/>
          <w:sz w:val="22"/>
        </w:rPr>
        <w:t xml:space="preserve"> документов подана с </w:t>
      </w:r>
      <w:r>
        <w:rPr>
          <w:rFonts w:ascii="Times New Roman" w:hAnsi="Times New Roman"/>
          <w:sz w:val="22"/>
        </w:rPr>
        <w:t xml:space="preserve">нарушением срока, установленного в информационном сообщении; </w:t>
      </w:r>
    </w:p>
    <w:p w14:paraId="2F000000">
      <w:pPr>
        <w:spacing w:after="0" w:before="0" w:line="240" w:lineRule="auto"/>
        <w:ind w:firstLine="568" w:left="-1418" w:right="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предоставленные документы, не соответствующих требованиям, установленным законодательством </w:t>
      </w:r>
      <w:r>
        <w:rPr>
          <w:rFonts w:ascii="Times New Roman" w:hAnsi="Times New Roman"/>
          <w:sz w:val="22"/>
        </w:rPr>
        <w:t>Россиийской</w:t>
      </w:r>
      <w:r>
        <w:rPr>
          <w:rFonts w:ascii="Times New Roman" w:hAnsi="Times New Roman"/>
          <w:sz w:val="22"/>
        </w:rPr>
        <w:t xml:space="preserve"> Федерации и информационным сообщением; </w:t>
      </w:r>
    </w:p>
    <w:p w14:paraId="30000000">
      <w:pPr>
        <w:spacing w:after="0" w:before="0" w:line="240" w:lineRule="auto"/>
        <w:ind w:firstLine="568" w:left="-1418" w:right="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заявка подана лицом, не уполномоченным претендентом на осуществление таких </w:t>
      </w:r>
      <w:r>
        <w:rPr>
          <w:rFonts w:ascii="Times New Roman" w:hAnsi="Times New Roman"/>
          <w:sz w:val="22"/>
        </w:rPr>
        <w:t>действий</w:t>
      </w:r>
      <w:r>
        <w:rPr>
          <w:rFonts w:ascii="Times New Roman" w:hAnsi="Times New Roman"/>
          <w:sz w:val="22"/>
        </w:rPr>
        <w:t xml:space="preserve">; </w:t>
      </w:r>
    </w:p>
    <w:p w14:paraId="31000000">
      <w:pPr>
        <w:spacing w:after="0" w:before="0" w:line="240" w:lineRule="auto"/>
        <w:ind w:firstLine="568" w:left="-1418" w:right="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не подтверждено поступление в </w:t>
      </w:r>
      <w:r>
        <w:rPr>
          <w:rFonts w:ascii="Times New Roman" w:hAnsi="Times New Roman"/>
          <w:sz w:val="22"/>
        </w:rPr>
        <w:t>установленный</w:t>
      </w:r>
      <w:r>
        <w:rPr>
          <w:rFonts w:ascii="Times New Roman" w:hAnsi="Times New Roman"/>
          <w:sz w:val="22"/>
        </w:rPr>
        <w:t xml:space="preserve"> срок задатка на счет, </w:t>
      </w:r>
      <w:r>
        <w:rPr>
          <w:rFonts w:ascii="Times New Roman" w:hAnsi="Times New Roman"/>
          <w:sz w:val="22"/>
        </w:rPr>
        <w:t>указанный</w:t>
      </w:r>
      <w:r>
        <w:rPr>
          <w:rFonts w:ascii="Times New Roman" w:hAnsi="Times New Roman"/>
          <w:sz w:val="22"/>
        </w:rPr>
        <w:t xml:space="preserve"> в информационном сообщении.</w:t>
      </w:r>
    </w:p>
    <w:p w14:paraId="32000000">
      <w:pPr>
        <w:spacing w:after="0" w:before="0" w:line="240" w:lineRule="auto"/>
        <w:ind w:firstLine="568" w:left="-1418" w:right="1"/>
        <w:jc w:val="both"/>
        <w:rPr>
          <w:rFonts w:ascii="Times New Roman" w:hAnsi="Times New Roman"/>
          <w:sz w:val="22"/>
        </w:rPr>
      </w:pPr>
    </w:p>
    <w:p w14:paraId="33000000">
      <w:pPr>
        <w:spacing w:after="0" w:before="0" w:line="240" w:lineRule="auto"/>
        <w:ind w:firstLine="568" w:left="-1418" w:right="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Претенденты, призн</w:t>
      </w:r>
      <w:r>
        <w:rPr>
          <w:rFonts w:ascii="Times New Roman" w:hAnsi="Times New Roman"/>
          <w:sz w:val="22"/>
        </w:rPr>
        <w:t xml:space="preserve">анные участниками торгов, и претенденты, не допущенные к участию в торгах, уведомляются о принятом решении не позднее следующего рабочего дня с даты оформления решения протоколом путем направления организатором торгов соответствующего уведомления на адрес </w:t>
      </w:r>
      <w:r>
        <w:rPr>
          <w:rFonts w:ascii="Times New Roman" w:hAnsi="Times New Roman"/>
          <w:sz w:val="22"/>
        </w:rPr>
        <w:t>электронной</w:t>
      </w:r>
      <w:r>
        <w:rPr>
          <w:rFonts w:ascii="Times New Roman" w:hAnsi="Times New Roman"/>
          <w:sz w:val="22"/>
        </w:rPr>
        <w:t xml:space="preserve"> почты претендента, </w:t>
      </w:r>
      <w:r>
        <w:rPr>
          <w:rFonts w:ascii="Times New Roman" w:hAnsi="Times New Roman"/>
          <w:sz w:val="22"/>
        </w:rPr>
        <w:t>указанный</w:t>
      </w:r>
      <w:r>
        <w:rPr>
          <w:rFonts w:ascii="Times New Roman" w:hAnsi="Times New Roman"/>
          <w:sz w:val="22"/>
        </w:rPr>
        <w:t xml:space="preserve"> в заявке на участие в торгах (либо посредством уведомления в личном кабинете на </w:t>
      </w:r>
      <w:r>
        <w:rPr>
          <w:rFonts w:ascii="Times New Roman" w:hAnsi="Times New Roman"/>
          <w:sz w:val="22"/>
        </w:rPr>
        <w:t>электронной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торговой</w:t>
      </w:r>
      <w:r>
        <w:rPr>
          <w:rFonts w:ascii="Times New Roman" w:hAnsi="Times New Roman"/>
          <w:sz w:val="22"/>
        </w:rPr>
        <w:t xml:space="preserve"> площадке).</w:t>
      </w:r>
    </w:p>
    <w:p w14:paraId="34000000">
      <w:pPr>
        <w:spacing w:after="0" w:beforeAutospacing="on" w:line="240" w:lineRule="auto"/>
        <w:ind w:firstLine="568" w:left="-1418" w:right="1"/>
        <w:jc w:val="both"/>
        <w:rPr>
          <w:rFonts w:ascii="Times New Roman" w:hAnsi="Times New Roman"/>
          <w:b w:val="0"/>
          <w:sz w:val="22"/>
        </w:rPr>
      </w:pPr>
      <w:r>
        <w:rPr>
          <w:rFonts w:ascii="Times New Roman" w:hAnsi="Times New Roman"/>
          <w:sz w:val="22"/>
        </w:rPr>
        <w:t xml:space="preserve">Торги проводятся на электронной торговой площадке, находящейся в сети интернет по адресу </w:t>
      </w:r>
      <w:r>
        <w:rPr>
          <w:rFonts w:ascii="Times New Roman" w:hAnsi="Times New Roman"/>
          <w:sz w:val="22"/>
        </w:rPr>
        <w:t>https://www.fabrikant.ru/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 соотве</w:t>
      </w:r>
      <w:r>
        <w:rPr>
          <w:rFonts w:ascii="Times New Roman" w:hAnsi="Times New Roman"/>
          <w:sz w:val="22"/>
        </w:rPr>
        <w:t>тствии со ст. 87, 89, 90 ФЗ «Об исполнительном производстве» от 02 октября 2007 г. № 229-ФЗ;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ст.</w:t>
      </w:r>
      <w:r>
        <w:rPr>
          <w:rFonts w:ascii="Times New Roman" w:hAnsi="Times New Roman"/>
          <w:sz w:val="22"/>
        </w:rPr>
        <w:t xml:space="preserve"> 447-449.1 ГК РФ, регламентом электронной торговой площадки. Победителем торгов признается участник, предложивший наиболее высокую цену. По итогам торгов в тот же день победителями торгов и Организатором торгов подписывается Пр</w:t>
      </w:r>
      <w:r>
        <w:rPr>
          <w:rFonts w:ascii="Times New Roman" w:hAnsi="Times New Roman"/>
          <w:sz w:val="22"/>
        </w:rPr>
        <w:t>отокол о результатах торгов по продаже арестованного имущества (далее по тексту - Протокол). Победитель торгов уплачивает сумму покупки за вычетом за</w:t>
      </w:r>
      <w:r>
        <w:rPr>
          <w:rFonts w:ascii="Times New Roman" w:hAnsi="Times New Roman"/>
          <w:b w:val="0"/>
          <w:sz w:val="22"/>
        </w:rPr>
        <w:t xml:space="preserve">датка Организатору торгов в течение 5 рабочих дней с момента подписания обеими сторонами протокола на счет </w:t>
      </w:r>
      <w:r>
        <w:rPr>
          <w:rFonts w:ascii="Times New Roman" w:hAnsi="Times New Roman"/>
          <w:b w:val="0"/>
          <w:sz w:val="22"/>
        </w:rPr>
        <w:t xml:space="preserve">МТУ Росимущества : </w:t>
      </w:r>
      <w:r>
        <w:rPr>
          <w:rFonts w:ascii="Times New Roman" w:hAnsi="Times New Roman"/>
          <w:b w:val="0"/>
          <w:color w:val="000000"/>
          <w:sz w:val="22"/>
        </w:rPr>
        <w:t>УФК</w:t>
      </w:r>
      <w:r>
        <w:rPr>
          <w:rFonts w:ascii="Times New Roman" w:hAnsi="Times New Roman"/>
          <w:b w:val="0"/>
          <w:sz w:val="22"/>
        </w:rPr>
        <w:t xml:space="preserve"> </w:t>
      </w:r>
      <w:r>
        <w:rPr>
          <w:rFonts w:ascii="Times New Roman" w:hAnsi="Times New Roman"/>
          <w:b w:val="0"/>
          <w:color w:val="000000"/>
          <w:sz w:val="22"/>
        </w:rPr>
        <w:t>по Нижегородской области</w:t>
      </w:r>
      <w:r>
        <w:rPr>
          <w:rFonts w:ascii="Times New Roman" w:hAnsi="Times New Roman"/>
          <w:b w:val="0"/>
          <w:sz w:val="22"/>
        </w:rPr>
        <w:t xml:space="preserve"> (Межрегиональное территориальное управление Федерального агентства по управлению государственным имуществом в городе Санкт-Петербурге и Ленинградской области л/с 05721А16220), </w:t>
      </w:r>
      <w:r>
        <w:rPr>
          <w:rFonts w:ascii="Times New Roman" w:hAnsi="Times New Roman"/>
          <w:b w:val="0"/>
          <w:sz w:val="22"/>
        </w:rPr>
        <w:t xml:space="preserve">ОГРН 1097847130886, ИНН 7838426520, КПП 784001001. Банк получателя: </w:t>
      </w:r>
      <w:r>
        <w:rPr>
          <w:rFonts w:ascii="Times New Roman" w:hAnsi="Times New Roman"/>
          <w:b w:val="0"/>
          <w:color w:val="000000"/>
          <w:sz w:val="22"/>
        </w:rPr>
        <w:t>ОКЦ № 1</w:t>
      </w:r>
      <w:r>
        <w:rPr>
          <w:rFonts w:ascii="Times New Roman" w:hAnsi="Times New Roman"/>
          <w:b w:val="0"/>
          <w:color w:val="000000"/>
          <w:sz w:val="22"/>
        </w:rPr>
        <w:t xml:space="preserve"> </w:t>
      </w:r>
      <w:r>
        <w:rPr>
          <w:rFonts w:ascii="Times New Roman" w:hAnsi="Times New Roman"/>
          <w:b w:val="0"/>
          <w:color w:val="000000"/>
          <w:sz w:val="22"/>
        </w:rPr>
        <w:t>ВВГУ</w:t>
      </w:r>
      <w:r>
        <w:rPr>
          <w:rFonts w:ascii="Times New Roman" w:hAnsi="Times New Roman"/>
          <w:b w:val="0"/>
          <w:color w:val="000000"/>
          <w:sz w:val="22"/>
        </w:rPr>
        <w:t xml:space="preserve"> </w:t>
      </w:r>
      <w:r>
        <w:rPr>
          <w:rFonts w:ascii="Times New Roman" w:hAnsi="Times New Roman"/>
          <w:b w:val="0"/>
          <w:color w:val="000000"/>
          <w:sz w:val="22"/>
        </w:rPr>
        <w:t>Банка России//УФК по</w:t>
      </w:r>
      <w:r>
        <w:rPr>
          <w:rFonts w:ascii="Times New Roman" w:hAnsi="Times New Roman"/>
          <w:b w:val="0"/>
          <w:color w:val="000000"/>
          <w:sz w:val="22"/>
        </w:rPr>
        <w:t xml:space="preserve"> </w:t>
      </w:r>
      <w:r>
        <w:rPr>
          <w:rFonts w:ascii="Times New Roman" w:hAnsi="Times New Roman"/>
          <w:b w:val="0"/>
          <w:color w:val="000000"/>
          <w:sz w:val="22"/>
        </w:rPr>
        <w:t>Нижегородской области</w:t>
      </w:r>
      <w:r>
        <w:rPr>
          <w:rFonts w:ascii="Times New Roman" w:hAnsi="Times New Roman"/>
          <w:b w:val="0"/>
          <w:color w:val="000000"/>
          <w:sz w:val="22"/>
        </w:rPr>
        <w:t>,</w:t>
      </w:r>
      <w:r>
        <w:rPr>
          <w:rFonts w:ascii="Times New Roman" w:hAnsi="Times New Roman"/>
          <w:b w:val="0"/>
          <w:color w:val="000000"/>
          <w:sz w:val="22"/>
        </w:rPr>
        <w:t xml:space="preserve"> </w:t>
      </w:r>
      <w:r>
        <w:rPr>
          <w:rFonts w:ascii="Times New Roman" w:hAnsi="Times New Roman"/>
          <w:b w:val="0"/>
          <w:color w:val="000000"/>
          <w:sz w:val="22"/>
        </w:rPr>
        <w:t>г. Нижний Новгород,</w:t>
      </w:r>
      <w:r>
        <w:rPr>
          <w:rFonts w:ascii="Times New Roman" w:hAnsi="Times New Roman"/>
          <w:b w:val="0"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>БИК банка получателя</w:t>
      </w:r>
      <w:r>
        <w:rPr>
          <w:rFonts w:ascii="Times New Roman" w:hAnsi="Times New Roman"/>
          <w:b w:val="0"/>
          <w:sz w:val="22"/>
        </w:rPr>
        <w:t xml:space="preserve"> </w:t>
      </w:r>
      <w:r>
        <w:rPr>
          <w:rFonts w:ascii="Times New Roman" w:hAnsi="Times New Roman"/>
          <w:b w:val="0"/>
          <w:color w:val="000000"/>
          <w:sz w:val="22"/>
        </w:rPr>
        <w:t>01</w:t>
      </w:r>
      <w:r>
        <w:rPr>
          <w:rFonts w:ascii="Times New Roman" w:hAnsi="Times New Roman"/>
          <w:b w:val="0"/>
          <w:color w:val="000000"/>
          <w:sz w:val="22"/>
        </w:rPr>
        <w:t>2202102</w:t>
      </w:r>
      <w:r>
        <w:rPr>
          <w:rFonts w:ascii="Times New Roman" w:hAnsi="Times New Roman"/>
          <w:b w:val="0"/>
          <w:sz w:val="22"/>
        </w:rPr>
        <w:t xml:space="preserve">, к/с банка </w:t>
      </w:r>
      <w:r>
        <w:rPr>
          <w:rFonts w:ascii="Times New Roman" w:hAnsi="Times New Roman"/>
          <w:b w:val="0"/>
          <w:color w:val="000000"/>
          <w:sz w:val="22"/>
        </w:rPr>
        <w:t>40102810745370000024</w:t>
      </w:r>
      <w:r>
        <w:rPr>
          <w:rFonts w:ascii="Times New Roman" w:hAnsi="Times New Roman"/>
          <w:b w:val="0"/>
          <w:sz w:val="22"/>
        </w:rPr>
        <w:t xml:space="preserve">, р/с </w:t>
      </w:r>
      <w:r>
        <w:rPr>
          <w:rFonts w:ascii="Times New Roman" w:hAnsi="Times New Roman"/>
          <w:b w:val="0"/>
          <w:color w:val="000000"/>
          <w:sz w:val="22"/>
        </w:rPr>
        <w:t>0321264300000001</w:t>
      </w:r>
      <w:r>
        <w:rPr>
          <w:rFonts w:ascii="Times New Roman" w:hAnsi="Times New Roman"/>
          <w:b w:val="0"/>
          <w:color w:val="000000"/>
          <w:sz w:val="22"/>
        </w:rPr>
        <w:t>3225</w:t>
      </w:r>
      <w:r>
        <w:rPr>
          <w:rFonts w:ascii="Times New Roman" w:hAnsi="Times New Roman"/>
          <w:b w:val="0"/>
          <w:sz w:val="22"/>
        </w:rPr>
        <w:t xml:space="preserve">, ОКТМО 40909000, КБК 167 114 140 110 105  004 40 </w:t>
      </w:r>
      <w:r>
        <w:rPr>
          <w:rFonts w:ascii="Times New Roman" w:hAnsi="Times New Roman"/>
          <w:b w:val="0"/>
          <w:sz w:val="22"/>
        </w:rPr>
        <w:t>(поля КБК и ОКТМО обязательны для заполнения в платежном документе). Код нормативного акта 0001.</w:t>
      </w:r>
      <w:r>
        <w:rPr>
          <w:rFonts w:ascii="Times New Roman" w:hAnsi="Times New Roman"/>
          <w:b w:val="0"/>
          <w:sz w:val="22"/>
        </w:rPr>
        <w:t xml:space="preserve"> (обязательное к заполнению поле 22 – код нормативного акта)</w:t>
      </w:r>
      <w:r>
        <w:rPr>
          <w:rFonts w:ascii="Times New Roman" w:hAnsi="Times New Roman"/>
          <w:b w:val="0"/>
          <w:sz w:val="22"/>
        </w:rPr>
        <w:t xml:space="preserve">. </w:t>
      </w:r>
    </w:p>
    <w:p w14:paraId="35000000">
      <w:pPr>
        <w:spacing w:after="0" w:before="0" w:line="240" w:lineRule="auto"/>
        <w:ind w:firstLine="567" w:left="-1417" w:right="0"/>
        <w:jc w:val="both"/>
        <w:rPr>
          <w:rFonts w:ascii="Times New Roman" w:hAnsi="Times New Roman"/>
          <w:sz w:val="22"/>
        </w:rPr>
      </w:pPr>
    </w:p>
    <w:p w14:paraId="36000000">
      <w:pPr>
        <w:spacing w:after="0" w:before="0" w:line="240" w:lineRule="auto"/>
        <w:ind w:firstLine="567" w:left="-1417" w:righ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ПОРЯДОК ЗАКЛЮЧЕНИЯ ДКП.</w:t>
      </w:r>
    </w:p>
    <w:p w14:paraId="37000000">
      <w:pPr>
        <w:spacing w:after="0" w:before="0" w:line="240" w:lineRule="auto"/>
        <w:ind w:firstLine="567" w:left="-1417" w:righ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В соответствии со ст. 89 Федерального закона от 02.10.2007 № 229-ФЗ «Об исполнительном производстве» не допускается заключение договора купли-продажи (далее - ДКП) по результатам торгов ранее чем через десять дней со дня подписания протокола, на основании которого осуществляется заключение договора.</w:t>
      </w:r>
    </w:p>
    <w:p w14:paraId="38000000">
      <w:pPr>
        <w:spacing w:after="0" w:before="0" w:line="240" w:lineRule="auto"/>
        <w:ind w:firstLine="567" w:left="-1417" w:righ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Заключение ДКП (за исключением случаев, когда предметом ДКП выступает единый имущественный комплекс), по результатам торгов осуществляется с использованием государственной информационной системы «Федеральное имущество онлайн», «Личного кабинета арендатора/заявителя» (</w:t>
      </w:r>
      <w:r>
        <w:rPr>
          <w:rFonts w:ascii="Times New Roman" w:hAnsi="Times New Roman"/>
          <w:color w:val="0000EE"/>
          <w:sz w:val="22"/>
          <w:u w:color="000000" w:val="single"/>
        </w:rPr>
        <w:fldChar w:fldCharType="begin"/>
      </w:r>
      <w:r>
        <w:rPr>
          <w:rFonts w:ascii="Times New Roman" w:hAnsi="Times New Roman"/>
          <w:color w:val="0000EE"/>
          <w:sz w:val="22"/>
          <w:u w:color="000000" w:val="single"/>
        </w:rPr>
        <w:instrText>HYPERLINK "https://fiol.rosim.gov.ru/mk/"</w:instrText>
      </w:r>
      <w:r>
        <w:rPr>
          <w:rFonts w:ascii="Times New Roman" w:hAnsi="Times New Roman"/>
          <w:color w:val="0000EE"/>
          <w:sz w:val="22"/>
          <w:u w:color="000000" w:val="single"/>
        </w:rPr>
        <w:fldChar w:fldCharType="separate"/>
      </w:r>
      <w:r>
        <w:rPr>
          <w:rFonts w:ascii="Times New Roman" w:hAnsi="Times New Roman"/>
          <w:color w:val="0000EE"/>
          <w:sz w:val="22"/>
          <w:u w:color="000000" w:val="single"/>
        </w:rPr>
        <w:t>https://fiol.rosim.gov.ru/mk/</w:t>
      </w:r>
      <w:r>
        <w:rPr>
          <w:rFonts w:ascii="Times New Roman" w:hAnsi="Times New Roman"/>
          <w:color w:val="0000EE"/>
          <w:sz w:val="22"/>
          <w:u w:color="000000" w:val="single"/>
        </w:rPr>
        <w:fldChar w:fldCharType="end"/>
      </w:r>
      <w:r>
        <w:rPr>
          <w:rFonts w:ascii="Times New Roman" w:hAnsi="Times New Roman"/>
          <w:sz w:val="22"/>
        </w:rPr>
        <w:t xml:space="preserve">), «Подсистема обработки обращений» (инструкция размещена на </w:t>
      </w:r>
      <w:r>
        <w:rPr>
          <w:rFonts w:ascii="Times New Roman" w:hAnsi="Times New Roman"/>
          <w:color w:val="0000EE"/>
          <w:sz w:val="22"/>
          <w:u w:color="000000" w:val="single"/>
        </w:rPr>
        <w:fldChar w:fldCharType="begin"/>
      </w:r>
      <w:r>
        <w:rPr>
          <w:rFonts w:ascii="Times New Roman" w:hAnsi="Times New Roman"/>
          <w:color w:val="0000EE"/>
          <w:sz w:val="22"/>
          <w:u w:color="000000" w:val="single"/>
        </w:rPr>
        <w:instrText>HYPERLINK "https://torgi.gov.ru/"</w:instrText>
      </w:r>
      <w:r>
        <w:rPr>
          <w:rFonts w:ascii="Times New Roman" w:hAnsi="Times New Roman"/>
          <w:color w:val="0000EE"/>
          <w:sz w:val="22"/>
          <w:u w:color="000000" w:val="single"/>
        </w:rPr>
        <w:fldChar w:fldCharType="separate"/>
      </w:r>
      <w:r>
        <w:rPr>
          <w:rFonts w:ascii="Times New Roman" w:hAnsi="Times New Roman"/>
          <w:color w:val="0000EE"/>
          <w:sz w:val="22"/>
          <w:u w:color="000000" w:val="single"/>
        </w:rPr>
        <w:t>https://torgi.gov.ru</w:t>
      </w:r>
      <w:r>
        <w:rPr>
          <w:rFonts w:ascii="Times New Roman" w:hAnsi="Times New Roman"/>
          <w:color w:val="0000EE"/>
          <w:sz w:val="22"/>
          <w:u w:color="000000" w:val="single"/>
        </w:rPr>
        <w:fldChar w:fldCharType="end"/>
      </w:r>
      <w:r>
        <w:rPr>
          <w:rFonts w:ascii="Times New Roman" w:hAnsi="Times New Roman"/>
          <w:sz w:val="22"/>
        </w:rPr>
        <w:t xml:space="preserve"> в разделе "документы извещения", а также на ЭТП)</w:t>
      </w:r>
    </w:p>
    <w:p w14:paraId="39000000">
      <w:pPr>
        <w:spacing w:after="0" w:before="0" w:line="240" w:lineRule="auto"/>
        <w:ind w:firstLine="567" w:left="-1417" w:righ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000000"/>
          <w:sz w:val="22"/>
          <w:highlight w:val="white"/>
        </w:rPr>
        <w:t>Вход в «Личный кабинет заявителя» осуществляется через авторизацию с помощью</w:t>
      </w:r>
      <w:r>
        <w:rPr>
          <w:rFonts w:ascii="Times New Roman" w:hAnsi="Times New Roman"/>
          <w:color w:val="000000"/>
          <w:sz w:val="22"/>
          <w:highlight w:val="white"/>
        </w:rPr>
        <w:t xml:space="preserve"> </w:t>
      </w:r>
      <w:r>
        <w:rPr>
          <w:rFonts w:ascii="Times New Roman" w:hAnsi="Times New Roman"/>
          <w:color w:val="000000"/>
          <w:sz w:val="22"/>
          <w:highlight w:val="white"/>
        </w:rPr>
        <w:t>«Единого портала государственных и муниципальных услуг (функций)» (ЕСИА) (далее – сайт</w:t>
      </w:r>
      <w:r>
        <w:rPr>
          <w:rFonts w:ascii="Times New Roman" w:hAnsi="Times New Roman"/>
          <w:color w:val="000000"/>
          <w:sz w:val="22"/>
          <w:highlight w:val="white"/>
        </w:rPr>
        <w:t xml:space="preserve"> </w:t>
      </w:r>
      <w:r>
        <w:rPr>
          <w:rFonts w:ascii="Times New Roman" w:hAnsi="Times New Roman"/>
          <w:color w:val="000000"/>
          <w:sz w:val="22"/>
          <w:highlight w:val="white"/>
        </w:rPr>
        <w:t>«Госуслуги»).</w:t>
      </w:r>
    </w:p>
    <w:p w14:paraId="3A000000">
      <w:pPr>
        <w:spacing w:after="0" w:before="0" w:line="240" w:lineRule="auto"/>
        <w:ind w:firstLine="567" w:left="-1417" w:righ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000000"/>
          <w:sz w:val="22"/>
          <w:highlight w:val="white"/>
        </w:rPr>
        <w:t>Перед направлением обращения необходимо проверить актуальность паспортных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  <w:highlight w:val="white"/>
        </w:rPr>
        <w:t>данных, внесенных в соответствующие разделы на сайте «Госуслуги», поскольку они будут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  <w:highlight w:val="white"/>
        </w:rPr>
        <w:t>использованы при создании обращения и подготовке электронной формы договора купли -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  <w:highlight w:val="white"/>
        </w:rPr>
        <w:t>продажи.</w:t>
      </w:r>
    </w:p>
    <w:p w14:paraId="3B000000">
      <w:pPr>
        <w:spacing w:after="0" w:before="0" w:line="240" w:lineRule="auto"/>
        <w:ind w:firstLine="567" w:left="-1417" w:righ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000000"/>
          <w:sz w:val="22"/>
          <w:highlight w:val="white"/>
        </w:rPr>
        <w:t>Для подписания договора купли-продажи потребуется наличие у покупателя электронной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  <w:highlight w:val="white"/>
        </w:rPr>
        <w:t>подписи или мобильного приложения «Госключ».</w:t>
      </w:r>
    </w:p>
    <w:p w14:paraId="3C000000">
      <w:pPr>
        <w:spacing w:after="0" w:before="0" w:line="240" w:lineRule="auto"/>
        <w:ind w:firstLine="567" w:left="-1417" w:righ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color w:val="000000"/>
          <w:sz w:val="22"/>
          <w:highlight w:val="white"/>
        </w:rPr>
        <w:t>В случае возникновения технических проблем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  <w:highlight w:val="white"/>
        </w:rPr>
        <w:t>при заключении ДКП посредством сервиса ФГИАС ЕСУГИ пользователям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  <w:highlight w:val="white"/>
        </w:rPr>
        <w:t>необходимо обращаться в Единую службу поддержки Росимущества (ЕСП)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  <w:highlight w:val="white"/>
        </w:rPr>
        <w:t>на адрес электронной почты: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color w:val="0000EE"/>
          <w:sz w:val="22"/>
          <w:highlight w:val="white"/>
          <w:u w:color="000000" w:val="single"/>
        </w:rPr>
        <w:t>esp@rosim.gov.ru</w:t>
      </w:r>
      <w:r>
        <w:rPr>
          <w:rFonts w:ascii="Times New Roman" w:hAnsi="Times New Roman"/>
          <w:color w:val="000000"/>
          <w:sz w:val="22"/>
          <w:highlight w:val="white"/>
        </w:rPr>
        <w:t>.</w:t>
      </w:r>
    </w:p>
    <w:p w14:paraId="3D000000">
      <w:pPr>
        <w:spacing w:after="0" w:before="0" w:line="240" w:lineRule="auto"/>
        <w:ind w:firstLine="567" w:left="-1417" w:righ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Если Победитель торгов в установленные сроки не подписал Протокол, он лишается права на приобретение имущества, сумма внесенного им задатка не возвращается. Право собств</w:t>
      </w:r>
      <w:r>
        <w:rPr>
          <w:rFonts w:ascii="Times New Roman" w:hAnsi="Times New Roman"/>
          <w:sz w:val="22"/>
        </w:rPr>
        <w:t>енности переходит к Победителю торгов в порядке, установленном законодательством Российской Федерации. В случае необходимости, расходы по государственной регистрации перехода права собственности на имущество возлагаются на победителя аукциона (покупателя).</w:t>
      </w:r>
    </w:p>
    <w:p w14:paraId="3E000000">
      <w:pPr>
        <w:spacing w:after="0" w:before="0" w:line="240" w:lineRule="auto"/>
        <w:ind w:firstLine="567" w:left="-1417" w:righ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Организатор торгов объявляет торги несостоявшимися, если:</w:t>
      </w:r>
    </w:p>
    <w:p w14:paraId="3F000000">
      <w:pPr>
        <w:numPr>
          <w:numId w:val="2"/>
        </w:numPr>
        <w:spacing w:after="0" w:before="0" w:line="240" w:lineRule="auto"/>
        <w:ind w:hanging="850" w:left="850" w:right="-426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Заявки на участие в торгах подали менее двух лиц; </w:t>
      </w:r>
    </w:p>
    <w:p w14:paraId="40000000">
      <w:pPr>
        <w:numPr>
          <w:numId w:val="3"/>
        </w:numPr>
        <w:spacing w:after="0" w:before="0" w:line="240" w:lineRule="auto"/>
        <w:ind w:hanging="850" w:left="850" w:right="-426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В торгах никто не принял участие или принял участие один участник торгов; </w:t>
      </w:r>
    </w:p>
    <w:p w14:paraId="41000000">
      <w:pPr>
        <w:numPr>
          <w:numId w:val="4"/>
        </w:numPr>
        <w:spacing w:after="0" w:before="0" w:line="240" w:lineRule="auto"/>
        <w:ind w:hanging="850" w:left="850" w:right="-426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Из участников торгов никто не сделал надбавки к начальной цене имущества; </w:t>
      </w:r>
    </w:p>
    <w:p w14:paraId="42000000">
      <w:pPr>
        <w:numPr>
          <w:numId w:val="5"/>
        </w:numPr>
        <w:ind w:hanging="850" w:left="850"/>
      </w:pPr>
      <w:r>
        <w:rPr>
          <w:rFonts w:ascii="Times New Roman" w:hAnsi="Times New Roman"/>
          <w:sz w:val="22"/>
        </w:rPr>
        <w:t>Лицо, выигравшее торги, в течение пяти дней со дня проведения торгов не оплатило стоимость, указанную в протоколе о результатах торгов.</w:t>
      </w:r>
    </w:p>
    <w:sectPr>
      <w:type w:val="nextPage"/>
      <w:pgSz w:h="16838" w:orient="portrait" w:w="11906"/>
      <w:pgMar w:bottom="822" w:footer="708" w:gutter="0" w:header="708" w:left="1701" w:right="850" w:top="28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-1058"/>
      </w:pPr>
    </w:lvl>
    <w:lvl w:ilvl="1">
      <w:start w:val="1"/>
      <w:numFmt w:val="lowerLetter"/>
      <w:lvlText w:val="%2."/>
      <w:lvlJc w:val="left"/>
      <w:pPr>
        <w:widowControl w:val="1"/>
        <w:ind w:hanging="360" w:left="-338"/>
      </w:pPr>
    </w:lvl>
    <w:lvl w:ilvl="2">
      <w:start w:val="1"/>
      <w:numFmt w:val="lowerRoman"/>
      <w:lvlText w:val="%3."/>
      <w:lvlJc w:val="right"/>
      <w:pPr>
        <w:widowControl w:val="1"/>
        <w:ind w:hanging="180" w:left="382"/>
      </w:pPr>
    </w:lvl>
    <w:lvl w:ilvl="3">
      <w:start w:val="1"/>
      <w:numFmt w:val="decimal"/>
      <w:lvlText w:val="%4."/>
      <w:lvlJc w:val="left"/>
      <w:pPr>
        <w:widowControl w:val="1"/>
        <w:ind w:hanging="360" w:left="1102"/>
      </w:pPr>
    </w:lvl>
    <w:lvl w:ilvl="4">
      <w:start w:val="1"/>
      <w:numFmt w:val="lowerLetter"/>
      <w:lvlText w:val="%5."/>
      <w:lvlJc w:val="left"/>
      <w:pPr>
        <w:widowControl w:val="1"/>
        <w:ind w:hanging="360" w:left="1822"/>
      </w:pPr>
    </w:lvl>
    <w:lvl w:ilvl="5">
      <w:start w:val="1"/>
      <w:numFmt w:val="lowerRoman"/>
      <w:lvlText w:val="%6."/>
      <w:lvlJc w:val="right"/>
      <w:pPr>
        <w:widowControl w:val="1"/>
        <w:ind w:hanging="180" w:left="2542"/>
      </w:pPr>
    </w:lvl>
    <w:lvl w:ilvl="6">
      <w:start w:val="1"/>
      <w:numFmt w:val="decimal"/>
      <w:lvlText w:val="%7."/>
      <w:lvlJc w:val="left"/>
      <w:pPr>
        <w:widowControl w:val="1"/>
        <w:ind w:hanging="360" w:left="3262"/>
      </w:pPr>
    </w:lvl>
    <w:lvl w:ilvl="7">
      <w:start w:val="1"/>
      <w:numFmt w:val="lowerLetter"/>
      <w:lvlText w:val="%8."/>
      <w:lvlJc w:val="left"/>
      <w:pPr>
        <w:widowControl w:val="1"/>
        <w:ind w:hanging="360" w:left="3982"/>
      </w:pPr>
    </w:lvl>
    <w:lvl w:ilvl="8">
      <w:start w:val="1"/>
      <w:numFmt w:val="lowerRoman"/>
      <w:lvlText w:val="%9."/>
      <w:lvlJc w:val="right"/>
      <w:pPr>
        <w:widowControl w:val="1"/>
        <w:ind w:hanging="180" w:left="4702"/>
      </w:pPr>
    </w:lvl>
  </w:abstractNum>
  <w:abstractNum w:abstractNumId="1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3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4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basedOn w:val="Style_3"/>
    <w:next w:val="Style_3"/>
    <w:link w:val="Style_4_ch"/>
    <w:uiPriority w:val="39"/>
    <w:pPr>
      <w:widowControl w:val="1"/>
      <w:spacing w:after="57"/>
      <w:ind w:firstLine="0" w:left="283" w:right="0"/>
    </w:pPr>
  </w:style>
  <w:style w:styleId="Style_4_ch" w:type="character">
    <w:name w:val="toc 2"/>
    <w:basedOn w:val="Style_3_ch"/>
    <w:link w:val="Style_4"/>
  </w:style>
  <w:style w:styleId="Style_5" w:type="paragraph">
    <w:name w:val="toc 4"/>
    <w:basedOn w:val="Style_3"/>
    <w:next w:val="Style_3"/>
    <w:link w:val="Style_5_ch"/>
    <w:uiPriority w:val="39"/>
    <w:pPr>
      <w:widowControl w:val="1"/>
      <w:spacing w:after="57"/>
      <w:ind w:firstLine="0" w:left="850" w:right="0"/>
    </w:pPr>
  </w:style>
  <w:style w:styleId="Style_5_ch" w:type="character">
    <w:name w:val="toc 4"/>
    <w:basedOn w:val="Style_3_ch"/>
    <w:link w:val="Style_5"/>
  </w:style>
  <w:style w:styleId="Style_6" w:type="paragraph">
    <w:name w:val="heading 7"/>
    <w:basedOn w:val="Style_3"/>
    <w:next w:val="Style_3"/>
    <w:link w:val="Style_6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6_ch" w:type="character">
    <w:name w:val="heading 7"/>
    <w:basedOn w:val="Style_3_ch"/>
    <w:link w:val="Style_6"/>
    <w:rPr>
      <w:rFonts w:ascii="Arial" w:hAnsi="Arial"/>
      <w:b w:val="1"/>
      <w:i w:val="1"/>
      <w:sz w:val="22"/>
    </w:rPr>
  </w:style>
  <w:style w:styleId="Style_7" w:type="paragraph">
    <w:name w:val="toc 6"/>
    <w:basedOn w:val="Style_3"/>
    <w:next w:val="Style_3"/>
    <w:link w:val="Style_7_ch"/>
    <w:uiPriority w:val="39"/>
    <w:pPr>
      <w:widowControl w:val="1"/>
      <w:spacing w:after="57"/>
      <w:ind w:firstLine="0" w:left="1417" w:right="0"/>
    </w:pPr>
  </w:style>
  <w:style w:styleId="Style_7_ch" w:type="character">
    <w:name w:val="toc 6"/>
    <w:basedOn w:val="Style_3_ch"/>
    <w:link w:val="Style_7"/>
  </w:style>
  <w:style w:styleId="Style_8" w:type="paragraph">
    <w:name w:val="Footer Char"/>
    <w:basedOn w:val="Style_9"/>
    <w:link w:val="Style_8_ch"/>
  </w:style>
  <w:style w:styleId="Style_8_ch" w:type="character">
    <w:name w:val="Footer Char"/>
    <w:basedOn w:val="Style_9_ch"/>
    <w:link w:val="Style_8"/>
  </w:style>
  <w:style w:styleId="Style_10" w:type="paragraph">
    <w:name w:val="toc 7"/>
    <w:basedOn w:val="Style_3"/>
    <w:next w:val="Style_3"/>
    <w:link w:val="Style_10_ch"/>
    <w:uiPriority w:val="39"/>
    <w:pPr>
      <w:widowControl w:val="1"/>
      <w:spacing w:after="57"/>
      <w:ind w:firstLine="0" w:left="1701" w:right="0"/>
    </w:pPr>
  </w:style>
  <w:style w:styleId="Style_10_ch" w:type="character">
    <w:name w:val="toc 7"/>
    <w:basedOn w:val="Style_3_ch"/>
    <w:link w:val="Style_10"/>
  </w:style>
  <w:style w:styleId="Style_11" w:type="paragraph">
    <w:name w:val="Endnote"/>
    <w:basedOn w:val="Style_3"/>
    <w:link w:val="Style_11_ch"/>
    <w:pPr>
      <w:widowControl w:val="1"/>
      <w:spacing w:after="0" w:line="240" w:lineRule="auto"/>
      <w:ind/>
    </w:pPr>
    <w:rPr>
      <w:sz w:val="20"/>
    </w:rPr>
  </w:style>
  <w:style w:styleId="Style_11_ch" w:type="character">
    <w:name w:val="Endnote"/>
    <w:basedOn w:val="Style_3_ch"/>
    <w:link w:val="Style_11"/>
    <w:rPr>
      <w:sz w:val="20"/>
    </w:rPr>
  </w:style>
  <w:style w:styleId="Style_12" w:type="paragraph">
    <w:name w:val="heading 3"/>
    <w:basedOn w:val="Style_3"/>
    <w:next w:val="Style_3"/>
    <w:link w:val="Style_12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Arial" w:hAnsi="Arial"/>
      <w:sz w:val="30"/>
    </w:rPr>
  </w:style>
  <w:style w:styleId="Style_12_ch" w:type="character">
    <w:name w:val="heading 3"/>
    <w:basedOn w:val="Style_3_ch"/>
    <w:link w:val="Style_12"/>
    <w:rPr>
      <w:rFonts w:ascii="Arial" w:hAnsi="Arial"/>
      <w:sz w:val="30"/>
    </w:rPr>
  </w:style>
  <w:style w:styleId="Style_13" w:type="paragraph">
    <w:name w:val="endnote reference"/>
    <w:basedOn w:val="Style_9"/>
    <w:link w:val="Style_13_ch"/>
    <w:rPr>
      <w:vertAlign w:val="superscript"/>
    </w:rPr>
  </w:style>
  <w:style w:styleId="Style_13_ch" w:type="character">
    <w:name w:val="endnote reference"/>
    <w:basedOn w:val="Style_9_ch"/>
    <w:link w:val="Style_13"/>
    <w:rPr>
      <w:vertAlign w:val="superscript"/>
    </w:rPr>
  </w:style>
  <w:style w:styleId="Style_14" w:type="paragraph">
    <w:name w:val="Caption"/>
    <w:basedOn w:val="Style_3"/>
    <w:next w:val="Style_3"/>
    <w:link w:val="Style_14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14_ch" w:type="character">
    <w:name w:val="Caption"/>
    <w:basedOn w:val="Style_3_ch"/>
    <w:link w:val="Style_14"/>
    <w:rPr>
      <w:b w:val="1"/>
      <w:color w:themeColor="accent1" w:val="4F81BD"/>
      <w:sz w:val="18"/>
    </w:rPr>
  </w:style>
  <w:style w:styleId="Style_15" w:type="paragraph">
    <w:name w:val="heading 9"/>
    <w:basedOn w:val="Style_3"/>
    <w:next w:val="Style_3"/>
    <w:link w:val="Style_15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15_ch" w:type="character">
    <w:name w:val="heading 9"/>
    <w:basedOn w:val="Style_3_ch"/>
    <w:link w:val="Style_15"/>
    <w:rPr>
      <w:rFonts w:ascii="Arial" w:hAnsi="Arial"/>
      <w:i w:val="1"/>
      <w:sz w:val="21"/>
    </w:rPr>
  </w:style>
  <w:style w:styleId="Style_16" w:type="paragraph">
    <w:name w:val="Quote"/>
    <w:basedOn w:val="Style_3"/>
    <w:next w:val="Style_3"/>
    <w:link w:val="Style_16_ch"/>
    <w:pPr>
      <w:widowControl w:val="1"/>
      <w:ind w:firstLine="0" w:left="720" w:right="720"/>
    </w:pPr>
    <w:rPr>
      <w:i w:val="1"/>
    </w:rPr>
  </w:style>
  <w:style w:styleId="Style_16_ch" w:type="character">
    <w:name w:val="Quote"/>
    <w:basedOn w:val="Style_3_ch"/>
    <w:link w:val="Style_16"/>
    <w:rPr>
      <w:i w:val="1"/>
    </w:rPr>
  </w:style>
  <w:style w:styleId="Style_17" w:type="paragraph">
    <w:name w:val="No Spacing"/>
    <w:link w:val="Style_17_ch"/>
    <w:pPr>
      <w:widowControl w:val="1"/>
      <w:spacing w:after="0" w:before="0" w:line="240" w:lineRule="auto"/>
      <w:ind/>
    </w:pPr>
  </w:style>
  <w:style w:styleId="Style_17_ch" w:type="character">
    <w:name w:val="No Spacing"/>
    <w:link w:val="Style_17"/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8" w:type="paragraph">
    <w:name w:val="toc 3"/>
    <w:basedOn w:val="Style_3"/>
    <w:next w:val="Style_3"/>
    <w:link w:val="Style_18_ch"/>
    <w:uiPriority w:val="39"/>
    <w:pPr>
      <w:widowControl w:val="1"/>
      <w:spacing w:after="57"/>
      <w:ind w:firstLine="0" w:left="567" w:right="0"/>
    </w:pPr>
  </w:style>
  <w:style w:styleId="Style_18_ch" w:type="character">
    <w:name w:val="toc 3"/>
    <w:basedOn w:val="Style_3_ch"/>
    <w:link w:val="Style_18"/>
  </w:style>
  <w:style w:styleId="Style_19" w:type="paragraph">
    <w:name w:val="Heading 1 Char"/>
    <w:basedOn w:val="Style_9"/>
    <w:link w:val="Style_19_ch"/>
    <w:rPr>
      <w:rFonts w:ascii="Arial" w:hAnsi="Arial"/>
      <w:sz w:val="40"/>
    </w:rPr>
  </w:style>
  <w:style w:styleId="Style_19_ch" w:type="character">
    <w:name w:val="Heading 1 Char"/>
    <w:basedOn w:val="Style_9_ch"/>
    <w:link w:val="Style_19"/>
    <w:rPr>
      <w:rFonts w:ascii="Arial" w:hAnsi="Arial"/>
      <w:sz w:val="40"/>
    </w:rPr>
  </w:style>
  <w:style w:styleId="Style_20" w:type="paragraph">
    <w:name w:val="Header"/>
    <w:basedOn w:val="Style_3"/>
    <w:link w:val="Style_20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20_ch" w:type="character">
    <w:name w:val="Header"/>
    <w:basedOn w:val="Style_3_ch"/>
    <w:link w:val="Style_20"/>
  </w:style>
  <w:style w:styleId="Style_21" w:type="paragraph">
    <w:name w:val="heading 5"/>
    <w:basedOn w:val="Style_3"/>
    <w:next w:val="Style_3"/>
    <w:link w:val="Style_21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Arial" w:hAnsi="Arial"/>
      <w:b w:val="1"/>
      <w:sz w:val="24"/>
    </w:rPr>
  </w:style>
  <w:style w:styleId="Style_21_ch" w:type="character">
    <w:name w:val="heading 5"/>
    <w:basedOn w:val="Style_3_ch"/>
    <w:link w:val="Style_21"/>
    <w:rPr>
      <w:rFonts w:ascii="Arial" w:hAnsi="Arial"/>
      <w:b w:val="1"/>
      <w:sz w:val="24"/>
    </w:rPr>
  </w:style>
  <w:style w:styleId="Style_22" w:type="paragraph">
    <w:name w:val="footnote reference"/>
    <w:basedOn w:val="Style_9"/>
    <w:link w:val="Style_22_ch"/>
    <w:rPr>
      <w:vertAlign w:val="superscript"/>
    </w:rPr>
  </w:style>
  <w:style w:styleId="Style_22_ch" w:type="character">
    <w:name w:val="footnote reference"/>
    <w:basedOn w:val="Style_9_ch"/>
    <w:link w:val="Style_22"/>
    <w:rPr>
      <w:vertAlign w:val="superscript"/>
    </w:rPr>
  </w:style>
  <w:style w:styleId="Style_23" w:type="paragraph">
    <w:name w:val="heading 1"/>
    <w:basedOn w:val="Style_3"/>
    <w:next w:val="Style_3"/>
    <w:link w:val="Style_23_ch"/>
    <w:uiPriority w:val="9"/>
    <w:qFormat/>
    <w:pPr>
      <w:keepNext w:val="1"/>
      <w:keepLines w:val="1"/>
      <w:widowControl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23_ch" w:type="character">
    <w:name w:val="heading 1"/>
    <w:basedOn w:val="Style_3_ch"/>
    <w:link w:val="Style_23"/>
    <w:rPr>
      <w:rFonts w:asciiTheme="majorAscii" w:hAnsiTheme="majorHAnsi"/>
      <w:b w:val="1"/>
      <w:color w:themeColor="accent1" w:themeShade="BF" w:val="376092"/>
      <w:sz w:val="28"/>
    </w:rPr>
  </w:style>
  <w:style w:styleId="Style_24" w:type="paragraph">
    <w:name w:val="notice-header_title_text"/>
    <w:basedOn w:val="Style_9"/>
    <w:link w:val="Style_24_ch"/>
  </w:style>
  <w:style w:styleId="Style_24_ch" w:type="character">
    <w:name w:val="notice-header_title_text"/>
    <w:basedOn w:val="Style_9_ch"/>
    <w:link w:val="Style_24"/>
  </w:style>
  <w:style w:styleId="Style_25" w:type="paragraph">
    <w:name w:val="Footer"/>
    <w:basedOn w:val="Style_3"/>
    <w:link w:val="Style_25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25_ch" w:type="character">
    <w:name w:val="Footer"/>
    <w:basedOn w:val="Style_3_ch"/>
    <w:link w:val="Style_25"/>
  </w:style>
  <w:style w:styleId="Style_2" w:type="paragraph">
    <w:name w:val="Hyperlink"/>
    <w:basedOn w:val="Style_9"/>
    <w:link w:val="Style_2_ch"/>
    <w:rPr>
      <w:color w:val="0000FF"/>
      <w:u w:val="single"/>
    </w:rPr>
  </w:style>
  <w:style w:styleId="Style_2_ch" w:type="character">
    <w:name w:val="Hyperlink"/>
    <w:basedOn w:val="Style_9_ch"/>
    <w:link w:val="Style_2"/>
    <w:rPr>
      <w:color w:val="0000FF"/>
      <w:u w:val="single"/>
    </w:rPr>
  </w:style>
  <w:style w:styleId="Style_26" w:type="paragraph">
    <w:name w:val="Footnote"/>
    <w:basedOn w:val="Style_3"/>
    <w:link w:val="Style_26_ch"/>
    <w:pPr>
      <w:widowControl w:val="1"/>
      <w:spacing w:after="40" w:line="240" w:lineRule="auto"/>
      <w:ind/>
    </w:pPr>
    <w:rPr>
      <w:sz w:val="18"/>
    </w:rPr>
  </w:style>
  <w:style w:styleId="Style_26_ch" w:type="character">
    <w:name w:val="Footnote"/>
    <w:basedOn w:val="Style_3_ch"/>
    <w:link w:val="Style_26"/>
    <w:rPr>
      <w:sz w:val="18"/>
    </w:rPr>
  </w:style>
  <w:style w:styleId="Style_27" w:type="paragraph">
    <w:name w:val="heading 8"/>
    <w:basedOn w:val="Style_3"/>
    <w:next w:val="Style_3"/>
    <w:link w:val="Style_27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27_ch" w:type="character">
    <w:name w:val="heading 8"/>
    <w:basedOn w:val="Style_3_ch"/>
    <w:link w:val="Style_27"/>
    <w:rPr>
      <w:rFonts w:ascii="Arial" w:hAnsi="Arial"/>
      <w:i w:val="1"/>
      <w:sz w:val="22"/>
    </w:rPr>
  </w:style>
  <w:style w:styleId="Style_28" w:type="paragraph">
    <w:name w:val="List Paragraph"/>
    <w:basedOn w:val="Style_3"/>
    <w:link w:val="Style_28_ch"/>
    <w:pPr>
      <w:widowControl w:val="1"/>
      <w:ind w:firstLine="0" w:left="720"/>
      <w:contextualSpacing w:val="1"/>
    </w:pPr>
  </w:style>
  <w:style w:styleId="Style_28_ch" w:type="character">
    <w:name w:val="List Paragraph"/>
    <w:basedOn w:val="Style_3_ch"/>
    <w:link w:val="Style_28"/>
  </w:style>
  <w:style w:styleId="Style_29" w:type="paragraph">
    <w:name w:val="toc 1"/>
    <w:basedOn w:val="Style_3"/>
    <w:next w:val="Style_3"/>
    <w:link w:val="Style_29_ch"/>
    <w:uiPriority w:val="39"/>
    <w:pPr>
      <w:widowControl w:val="1"/>
      <w:spacing w:after="57"/>
      <w:ind w:firstLine="0" w:left="0" w:right="0"/>
    </w:pPr>
  </w:style>
  <w:style w:styleId="Style_29_ch" w:type="character">
    <w:name w:val="toc 1"/>
    <w:basedOn w:val="Style_3_ch"/>
    <w:link w:val="Style_29"/>
  </w:style>
  <w:style w:styleId="Style_30" w:type="paragraph">
    <w:name w:val="Header and Footer"/>
    <w:link w:val="Style_30_ch"/>
    <w:pPr>
      <w:spacing w:line="240" w:lineRule="auto"/>
      <w:ind/>
      <w:jc w:val="both"/>
    </w:pPr>
    <w:rPr>
      <w:rFonts w:ascii="XO Thames" w:hAnsi="XO Thames"/>
      <w:sz w:val="28"/>
    </w:rPr>
  </w:style>
  <w:style w:styleId="Style_30_ch" w:type="character">
    <w:name w:val="Header and Footer"/>
    <w:link w:val="Style_30"/>
    <w:rPr>
      <w:rFonts w:ascii="XO Thames" w:hAnsi="XO Thames"/>
      <w:sz w:val="28"/>
    </w:rPr>
  </w:style>
  <w:style w:styleId="Style_31" w:type="paragraph">
    <w:name w:val="Normal (Web)"/>
    <w:basedOn w:val="Style_3"/>
    <w:link w:val="Style_3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1_ch" w:type="character">
    <w:name w:val="Normal (Web)"/>
    <w:basedOn w:val="Style_3_ch"/>
    <w:link w:val="Style_31"/>
    <w:rPr>
      <w:rFonts w:ascii="Times New Roman" w:hAnsi="Times New Roman"/>
      <w:sz w:val="24"/>
    </w:rPr>
  </w:style>
  <w:style w:styleId="Style_32" w:type="paragraph">
    <w:name w:val="toc 9"/>
    <w:basedOn w:val="Style_3"/>
    <w:next w:val="Style_3"/>
    <w:link w:val="Style_32_ch"/>
    <w:uiPriority w:val="39"/>
    <w:pPr>
      <w:widowControl w:val="1"/>
      <w:spacing w:after="57"/>
      <w:ind w:firstLine="0" w:left="2268" w:right="0"/>
    </w:pPr>
  </w:style>
  <w:style w:styleId="Style_32_ch" w:type="character">
    <w:name w:val="toc 9"/>
    <w:basedOn w:val="Style_3_ch"/>
    <w:link w:val="Style_32"/>
  </w:style>
  <w:style w:styleId="Style_33" w:type="paragraph">
    <w:name w:val="table of figures"/>
    <w:basedOn w:val="Style_3"/>
    <w:next w:val="Style_3"/>
    <w:link w:val="Style_33_ch"/>
    <w:pPr>
      <w:widowControl w:val="1"/>
      <w:spacing w:after="0"/>
      <w:ind/>
    </w:pPr>
  </w:style>
  <w:style w:styleId="Style_33_ch" w:type="character">
    <w:name w:val="table of figures"/>
    <w:basedOn w:val="Style_3_ch"/>
    <w:link w:val="Style_33"/>
  </w:style>
  <w:style w:styleId="Style_34" w:type="paragraph">
    <w:name w:val="toc 8"/>
    <w:basedOn w:val="Style_3"/>
    <w:next w:val="Style_3"/>
    <w:link w:val="Style_34_ch"/>
    <w:uiPriority w:val="39"/>
    <w:pPr>
      <w:widowControl w:val="1"/>
      <w:spacing w:after="57"/>
      <w:ind w:firstLine="0" w:left="1984" w:right="0"/>
    </w:pPr>
  </w:style>
  <w:style w:styleId="Style_34_ch" w:type="character">
    <w:name w:val="toc 8"/>
    <w:basedOn w:val="Style_3_ch"/>
    <w:link w:val="Style_34"/>
  </w:style>
  <w:style w:styleId="Style_35" w:type="paragraph">
    <w:name w:val="Intense Quote"/>
    <w:basedOn w:val="Style_3"/>
    <w:next w:val="Style_3"/>
    <w:link w:val="Style_35_ch"/>
    <w:pPr>
      <w:widowControl w:val="1"/>
      <w:ind w:firstLine="0" w:left="720" w:right="720"/>
      <w:contextualSpacing w:val="0"/>
    </w:pPr>
    <w:rPr>
      <w:i w:val="1"/>
    </w:rPr>
  </w:style>
  <w:style w:styleId="Style_35_ch" w:type="character">
    <w:name w:val="Intense Quote"/>
    <w:basedOn w:val="Style_3_ch"/>
    <w:link w:val="Style_35"/>
    <w:rPr>
      <w:i w:val="1"/>
    </w:rPr>
  </w:style>
  <w:style w:styleId="Style_36" w:type="paragraph">
    <w:name w:val="TOC Heading"/>
    <w:link w:val="Style_36_ch"/>
  </w:style>
  <w:style w:styleId="Style_36_ch" w:type="character">
    <w:name w:val="TOC Heading"/>
    <w:link w:val="Style_36"/>
  </w:style>
  <w:style w:styleId="Style_37" w:type="paragraph">
    <w:name w:val="toc 5"/>
    <w:basedOn w:val="Style_3"/>
    <w:next w:val="Style_3"/>
    <w:link w:val="Style_37_ch"/>
    <w:uiPriority w:val="39"/>
    <w:pPr>
      <w:widowControl w:val="1"/>
      <w:spacing w:after="57"/>
      <w:ind w:firstLine="0" w:left="1134" w:right="0"/>
    </w:pPr>
  </w:style>
  <w:style w:styleId="Style_37_ch" w:type="character">
    <w:name w:val="toc 5"/>
    <w:basedOn w:val="Style_3_ch"/>
    <w:link w:val="Style_37"/>
  </w:style>
  <w:style w:styleId="Style_38" w:type="paragraph">
    <w:name w:val="Subtitle"/>
    <w:basedOn w:val="Style_3"/>
    <w:next w:val="Style_3"/>
    <w:link w:val="Style_38_ch"/>
    <w:uiPriority w:val="11"/>
    <w:qFormat/>
    <w:pPr>
      <w:widowControl w:val="1"/>
      <w:spacing w:after="200" w:before="200"/>
      <w:ind/>
    </w:pPr>
    <w:rPr>
      <w:sz w:val="24"/>
    </w:rPr>
  </w:style>
  <w:style w:styleId="Style_38_ch" w:type="character">
    <w:name w:val="Subtitle"/>
    <w:basedOn w:val="Style_3_ch"/>
    <w:link w:val="Style_38"/>
    <w:rPr>
      <w:sz w:val="24"/>
    </w:rPr>
  </w:style>
  <w:style w:styleId="Style_1" w:type="paragraph">
    <w:name w:val="western"/>
    <w:basedOn w:val="Style_3"/>
    <w:link w:val="Style_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western"/>
    <w:basedOn w:val="Style_3_ch"/>
    <w:link w:val="Style_1"/>
    <w:rPr>
      <w:rFonts w:ascii="Times New Roman" w:hAnsi="Times New Roman"/>
      <w:sz w:val="24"/>
    </w:rPr>
  </w:style>
  <w:style w:styleId="Style_39" w:type="paragraph">
    <w:name w:val="Title"/>
    <w:basedOn w:val="Style_3"/>
    <w:next w:val="Style_3"/>
    <w:link w:val="Style_39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39_ch" w:type="character">
    <w:name w:val="Title"/>
    <w:basedOn w:val="Style_3_ch"/>
    <w:link w:val="Style_39"/>
    <w:rPr>
      <w:sz w:val="48"/>
    </w:rPr>
  </w:style>
  <w:style w:styleId="Style_40" w:type="paragraph">
    <w:name w:val="heading 4"/>
    <w:basedOn w:val="Style_3"/>
    <w:next w:val="Style_3"/>
    <w:link w:val="Style_40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40_ch" w:type="character">
    <w:name w:val="heading 4"/>
    <w:basedOn w:val="Style_3_ch"/>
    <w:link w:val="Style_40"/>
    <w:rPr>
      <w:rFonts w:ascii="Arial" w:hAnsi="Arial"/>
      <w:b w:val="1"/>
      <w:sz w:val="26"/>
    </w:rPr>
  </w:style>
  <w:style w:styleId="Style_41" w:type="paragraph">
    <w:name w:val="heading 2"/>
    <w:basedOn w:val="Style_3"/>
    <w:link w:val="Style_41_ch"/>
    <w:uiPriority w:val="9"/>
    <w:qFormat/>
    <w:pPr>
      <w:widowControl w:val="1"/>
      <w:spacing w:afterAutospacing="on" w:beforeAutospacing="on" w:line="240" w:lineRule="auto"/>
      <w:ind/>
      <w:outlineLvl w:val="1"/>
    </w:pPr>
    <w:rPr>
      <w:rFonts w:ascii="Times New Roman" w:hAnsi="Times New Roman"/>
      <w:b w:val="1"/>
      <w:sz w:val="36"/>
    </w:rPr>
  </w:style>
  <w:style w:styleId="Style_41_ch" w:type="character">
    <w:name w:val="heading 2"/>
    <w:basedOn w:val="Style_3_ch"/>
    <w:link w:val="Style_41"/>
    <w:rPr>
      <w:rFonts w:ascii="Times New Roman" w:hAnsi="Times New Roman"/>
      <w:b w:val="1"/>
      <w:sz w:val="36"/>
    </w:rPr>
  </w:style>
  <w:style w:styleId="Style_42" w:type="paragraph">
    <w:name w:val="Heading 2 Char"/>
    <w:basedOn w:val="Style_9"/>
    <w:link w:val="Style_42_ch"/>
    <w:rPr>
      <w:rFonts w:ascii="Arial" w:hAnsi="Arial"/>
      <w:sz w:val="34"/>
    </w:rPr>
  </w:style>
  <w:style w:styleId="Style_42_ch" w:type="character">
    <w:name w:val="Heading 2 Char"/>
    <w:basedOn w:val="Style_9_ch"/>
    <w:link w:val="Style_42"/>
    <w:rPr>
      <w:rFonts w:ascii="Arial" w:hAnsi="Arial"/>
      <w:sz w:val="34"/>
    </w:rPr>
  </w:style>
  <w:style w:styleId="Style_43" w:type="paragraph">
    <w:name w:val="heading 6"/>
    <w:basedOn w:val="Style_3"/>
    <w:next w:val="Style_3"/>
    <w:link w:val="Style_43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43_ch" w:type="character">
    <w:name w:val="heading 6"/>
    <w:basedOn w:val="Style_3_ch"/>
    <w:link w:val="Style_43"/>
    <w:rPr>
      <w:rFonts w:ascii="Arial" w:hAnsi="Arial"/>
      <w:b w:val="1"/>
      <w:sz w:val="22"/>
    </w:rPr>
  </w:style>
  <w:style w:styleId="Style_44" w:type="table">
    <w:name w:val="List Table 6 Colorful - Accent 2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46" w:type="table">
    <w:name w:val="Grid Table 1 Light - Accent 3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47" w:type="table">
    <w:name w:val="Grid Table 7 Colorful - Accent 1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48" w:type="table">
    <w:name w:val="List Table 4 - Accent 4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49" w:type="table">
    <w:name w:val="List Table 1 Light - Accent 6"/>
    <w:basedOn w:val="Style_45"/>
    <w:pPr>
      <w:widowControl w:val="1"/>
      <w:spacing w:after="0" w:line="240" w:lineRule="auto"/>
      <w:ind/>
    </w:pPr>
    <w:tblPr>
      <w:tblInd w:type="dxa" w:w="0"/>
    </w:tblPr>
  </w:style>
  <w:style w:styleId="Style_50" w:type="table">
    <w:name w:val="Grid Table 2 - Accent 5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51" w:type="table">
    <w:name w:val="Grid Table 5 Dark - Accent 2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2" w:type="table">
    <w:name w:val="List Table 1 Light - Accent 2"/>
    <w:basedOn w:val="Style_45"/>
    <w:pPr>
      <w:widowControl w:val="1"/>
      <w:spacing w:after="0" w:line="240" w:lineRule="auto"/>
      <w:ind/>
    </w:pPr>
    <w:tblPr>
      <w:tblInd w:type="dxa" w:w="0"/>
    </w:tblPr>
  </w:style>
  <w:style w:styleId="Style_53" w:type="table">
    <w:name w:val="List Table 5 Dark - Accent 3"/>
    <w:basedOn w:val="Style_45"/>
    <w:pPr>
      <w:widowControl w:val="1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54" w:type="table">
    <w:name w:val="Bordered - Accent 1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55" w:type="table">
    <w:name w:val="Grid Table 3 - Accent 6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56" w:type="table">
    <w:name w:val="Plain Table 3"/>
    <w:basedOn w:val="Style_45"/>
    <w:pPr>
      <w:widowControl w:val="1"/>
      <w:spacing w:after="0" w:line="240" w:lineRule="auto"/>
      <w:ind/>
    </w:pPr>
    <w:tblPr>
      <w:tblInd w:type="dxa" w:w="0"/>
    </w:tblPr>
  </w:style>
  <w:style w:styleId="Style_57" w:type="table">
    <w:name w:val="Grid Table 6 Colorful - Accent 4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58" w:type="table">
    <w:name w:val="Bordered &amp; Lined - Accent 1"/>
    <w:basedOn w:val="Style_45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59" w:type="table">
    <w:name w:val="List Table 4 - Accent 5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60" w:type="table">
    <w:name w:val="Grid Table 4 - Accent 6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61" w:type="table">
    <w:name w:val="Grid Table 2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62" w:type="table">
    <w:name w:val="Lined - Accent 1"/>
    <w:basedOn w:val="Style_45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63" w:type="table">
    <w:name w:val="Grid Table 1 Light - Accent 5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64" w:type="table">
    <w:name w:val="Grid Table 7 Colorful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65" w:type="table">
    <w:name w:val="List Table 7 Colorful - Accent 5"/>
    <w:basedOn w:val="Style_45"/>
    <w:pPr>
      <w:widowControl w:val="1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66" w:type="table">
    <w:name w:val="Grid Table 7 Colorful - Accent 3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67" w:type="table">
    <w:name w:val="Grid Table 6 Colorful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68" w:type="table">
    <w:name w:val="Grid Table 5 Dark - Accent 3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9" w:type="table">
    <w:name w:val="List Table 2 - Accent 2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70" w:type="table">
    <w:name w:val="List Table 3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71" w:type="table">
    <w:name w:val="Bordered - Accent 3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72" w:type="table">
    <w:name w:val="Grid Table 7 Colorful - Accent 6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73" w:type="table">
    <w:name w:val="List Table 5 Dark - Accent 6"/>
    <w:basedOn w:val="Style_45"/>
    <w:pPr>
      <w:widowControl w:val="1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74" w:type="table">
    <w:name w:val="Grid Table 6 Colorful - Accent 6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75" w:type="table">
    <w:name w:val="Bordered &amp; Lined - Accent 2"/>
    <w:basedOn w:val="Style_45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76" w:type="table">
    <w:name w:val="Grid Table 2 - Accent 6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77" w:type="table">
    <w:name w:val="Grid Table 2 - Accent 1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78" w:type="table">
    <w:name w:val="List Table 5 Dark - Accent 5"/>
    <w:basedOn w:val="Style_45"/>
    <w:pPr>
      <w:widowControl w:val="1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79" w:type="table">
    <w:name w:val="List Table 1 Light - Accent 5"/>
    <w:basedOn w:val="Style_45"/>
    <w:pPr>
      <w:widowControl w:val="1"/>
      <w:spacing w:after="0" w:line="240" w:lineRule="auto"/>
      <w:ind/>
    </w:pPr>
    <w:tblPr>
      <w:tblInd w:type="dxa" w:w="0"/>
    </w:tblPr>
  </w:style>
  <w:style w:styleId="Style_80" w:type="table">
    <w:name w:val="Bordered - Accent 2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81" w:type="table">
    <w:name w:val="List Table 4 - Accent 1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82" w:type="table">
    <w:name w:val="Plain Table 2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Grid Table 5 Dark- Accent 4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4" w:type="table">
    <w:name w:val="Bordered &amp; Lined - Accent 5"/>
    <w:basedOn w:val="Style_45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85" w:type="table">
    <w:name w:val="Lined - Accent 2"/>
    <w:basedOn w:val="Style_45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86" w:type="table">
    <w:name w:val="List Table 2 - Accent 1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87" w:type="table">
    <w:name w:val="Grid Table 3 - Accent 4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8" w:type="table">
    <w:name w:val="Grid Table 3 - Accent 2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9" w:type="table">
    <w:name w:val="List Table 6 Colorful - Accent 6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90" w:type="table">
    <w:name w:val="Plain Table 4"/>
    <w:basedOn w:val="Style_45"/>
    <w:pPr>
      <w:widowControl w:val="1"/>
      <w:spacing w:after="0" w:line="240" w:lineRule="auto"/>
      <w:ind/>
    </w:pPr>
    <w:tblPr>
      <w:tblInd w:type="dxa" w:w="0"/>
    </w:tblPr>
  </w:style>
  <w:style w:styleId="Style_91" w:type="table">
    <w:name w:val="List Table 2 - Accent 6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92" w:type="table">
    <w:name w:val="Bordered &amp; Lined - Accent"/>
    <w:basedOn w:val="Style_45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93" w:type="table">
    <w:name w:val="List Table 3 - Accent 3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94" w:type="table">
    <w:name w:val="Grid Table 4 - Accent 5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95" w:type="table">
    <w:name w:val="List Table 1 Light - Accent 3"/>
    <w:basedOn w:val="Style_45"/>
    <w:pPr>
      <w:widowControl w:val="1"/>
      <w:spacing w:after="0" w:line="240" w:lineRule="auto"/>
      <w:ind/>
    </w:pPr>
    <w:tblPr>
      <w:tblInd w:type="dxa" w:w="0"/>
    </w:tblPr>
  </w:style>
  <w:style w:styleId="Style_96" w:type="table">
    <w:name w:val="List Table 3 - Accent 1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97" w:type="table">
    <w:name w:val="Grid Table 2 - Accent 3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98" w:type="table">
    <w:name w:val="List Table 1 Light - Accent 4"/>
    <w:basedOn w:val="Style_45"/>
    <w:pPr>
      <w:widowControl w:val="1"/>
      <w:spacing w:after="0" w:line="240" w:lineRule="auto"/>
      <w:ind/>
    </w:pPr>
    <w:tblPr>
      <w:tblInd w:type="dxa" w:w="0"/>
    </w:tblPr>
  </w:style>
  <w:style w:styleId="Style_99" w:type="table">
    <w:name w:val="List Table 4 - Accent 6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00" w:type="table">
    <w:name w:val="List Table 3 - Accent 2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01" w:type="table">
    <w:name w:val="Grid Table 2 - Accent 2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2" w:type="table">
    <w:name w:val="Plain Table 1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3" w:type="table">
    <w:name w:val="Bordered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04" w:type="table">
    <w:name w:val="List Table 2 - Accent 3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05" w:type="table">
    <w:name w:val="Grid Table 1 Light - Accent 4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06" w:type="table">
    <w:name w:val="Grid Table 4 - Accent 1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07" w:type="table">
    <w:name w:val="Grid Table 5 Dark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8" w:type="table">
    <w:name w:val="List Table 4 - Accent 3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09" w:type="table">
    <w:name w:val="Grid Table 4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10" w:type="table">
    <w:name w:val="Grid Table 7 Colorful - Accent 4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1" w:type="table">
    <w:name w:val="Table Grid Light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2" w:type="table">
    <w:name w:val="Bordered &amp; Lined - Accent 4"/>
    <w:basedOn w:val="Style_45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13" w:type="table">
    <w:name w:val="List Table 5 Dark"/>
    <w:basedOn w:val="Style_45"/>
    <w:pPr>
      <w:widowControl w:val="1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14" w:type="table">
    <w:name w:val="Grid Table 5 Dark- Accent 1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5" w:type="table">
    <w:name w:val="Grid Table 5 Dark - Accent 5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6" w:type="table">
    <w:name w:val="List Table 3 - Accent 4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17" w:type="table">
    <w:name w:val="Grid Table 1 Light - Accent 6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18" w:type="table">
    <w:name w:val="Grid Table 3 - Accent 3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9" w:type="table">
    <w:name w:val="Bordered &amp; Lined - Accent 3"/>
    <w:basedOn w:val="Style_45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20" w:type="table">
    <w:name w:val="Grid Table 2 - Accent 4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1" w:type="table">
    <w:name w:val="Grid Table 3 - Accent 5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22" w:type="table">
    <w:name w:val="List Table 4 - Accent 2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23" w:type="table">
    <w:name w:val="List Table 2 - Accent 4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24" w:type="table">
    <w:name w:val="Grid Table 4 - Accent 4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25" w:type="table">
    <w:name w:val="Lined - Accent 6"/>
    <w:basedOn w:val="Style_45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default="1" w:styleId="Style_4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List Table 6 Colorful - Accent 4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27" w:type="table">
    <w:name w:val="Lined - Accent 4"/>
    <w:basedOn w:val="Style_45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28" w:type="table">
    <w:name w:val="Grid Table 1 Light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29" w:type="table">
    <w:name w:val="List Table 7 Colorful - Accent 4"/>
    <w:basedOn w:val="Style_45"/>
    <w:pPr>
      <w:widowControl w:val="1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130" w:type="table">
    <w:name w:val="Grid Table 3 - Accent 1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31" w:type="table">
    <w:name w:val="Grid Table 4 - Accent 2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32" w:type="table">
    <w:name w:val="Grid Table 7 Colorful - Accent 5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33" w:type="table">
    <w:name w:val="Grid Table 4 - Accent 3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34" w:type="table">
    <w:name w:val="Bordered - Accent 6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35" w:type="table">
    <w:name w:val="Grid Table 6 Colorful - Accent 1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36" w:type="table">
    <w:name w:val="Bordered - Accent 5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37" w:type="table">
    <w:name w:val="List Table 5 Dark - Accent 4"/>
    <w:basedOn w:val="Style_45"/>
    <w:pPr>
      <w:widowControl w:val="1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38" w:type="table">
    <w:name w:val="Grid Table 6 Colorful - Accent 2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9" w:type="table">
    <w:name w:val="List Table 3 - Accent 6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40" w:type="table">
    <w:name w:val="List Table 1 Light"/>
    <w:basedOn w:val="Style_45"/>
    <w:pPr>
      <w:widowControl w:val="1"/>
      <w:spacing w:after="0" w:line="240" w:lineRule="auto"/>
      <w:ind/>
    </w:pPr>
    <w:tblPr>
      <w:tblInd w:type="dxa" w:w="0"/>
    </w:tblPr>
  </w:style>
  <w:style w:styleId="Style_141" w:type="table">
    <w:name w:val="List Table 2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42" w:type="table">
    <w:name w:val="List Table 6 Colorful - Accent 3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43" w:type="table">
    <w:name w:val="List Table 5 Dark - Accent 2"/>
    <w:basedOn w:val="Style_45"/>
    <w:pPr>
      <w:widowControl w:val="1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44" w:type="table">
    <w:name w:val="List Table 4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45" w:type="table">
    <w:name w:val="List Table 7 Colorful - Accent 3"/>
    <w:basedOn w:val="Style_45"/>
    <w:pPr>
      <w:widowControl w:val="1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46" w:type="table">
    <w:name w:val="List Table 7 Colorful - Accent 1"/>
    <w:basedOn w:val="Style_45"/>
    <w:pPr>
      <w:widowControl w:val="1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147" w:type="table">
    <w:name w:val="Plain Table 5"/>
    <w:basedOn w:val="Style_45"/>
    <w:pPr>
      <w:widowControl w:val="1"/>
      <w:spacing w:after="0" w:line="240" w:lineRule="auto"/>
      <w:ind/>
    </w:pPr>
    <w:tblPr>
      <w:tblInd w:type="dxa" w:w="0"/>
    </w:tblPr>
  </w:style>
  <w:style w:styleId="Style_148" w:type="table">
    <w:name w:val="Lined - Accent 3"/>
    <w:basedOn w:val="Style_45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49" w:type="table">
    <w:name w:val="Grid Table 6 Colorful - Accent 5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50" w:type="table">
    <w:name w:val="List Table 7 Colorful - Accent 6"/>
    <w:basedOn w:val="Style_45"/>
    <w:pPr>
      <w:widowControl w:val="1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51" w:type="table">
    <w:name w:val="Grid Table 3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2" w:type="table">
    <w:name w:val="Bordered &amp; Lined - Accent 6"/>
    <w:basedOn w:val="Style_45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53" w:type="table">
    <w:name w:val="Grid Table 7 Colorful - Accent 2"/>
    <w:basedOn w:val="Style_45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4" w:type="table">
    <w:name w:val="List Table 6 Colorful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55" w:type="table">
    <w:name w:val="List Table 6 Colorful - Accent 1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156" w:type="table">
    <w:name w:val="Table Grid"/>
    <w:basedOn w:val="Style_45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Grid Table 5 Dark - Accent 6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8" w:type="table">
    <w:name w:val="Grid Table 1 Light - Accent 2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59" w:type="table">
    <w:name w:val="Grid Table 1 Light - Accent 1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60" w:type="table">
    <w:name w:val="Grid Table 6 Colorful - Accent 3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1" w:type="table">
    <w:name w:val="Lined - Accent 5"/>
    <w:basedOn w:val="Style_45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62" w:type="table">
    <w:name w:val="List Table 7 Colorful"/>
    <w:basedOn w:val="Style_45"/>
    <w:pPr>
      <w:widowControl w:val="1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63" w:type="table">
    <w:name w:val="Bordered - Accent 4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64" w:type="table">
    <w:name w:val="Lined - Accent"/>
    <w:basedOn w:val="Style_45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65" w:type="table">
    <w:name w:val="List Table 2 - Accent 5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66" w:type="table">
    <w:name w:val="List Table 7 Colorful - Accent 2"/>
    <w:basedOn w:val="Style_45"/>
    <w:pPr>
      <w:widowControl w:val="1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67" w:type="table">
    <w:name w:val="List Table 6 Colorful - Accent 5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168" w:type="table">
    <w:name w:val="List Table 3 - Accent 5"/>
    <w:basedOn w:val="Style_45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69" w:type="table">
    <w:name w:val="List Table 1 Light - Accent 1"/>
    <w:basedOn w:val="Style_45"/>
    <w:pPr>
      <w:widowControl w:val="1"/>
      <w:spacing w:after="0" w:line="240" w:lineRule="auto"/>
      <w:ind/>
    </w:pPr>
    <w:tblPr>
      <w:tblInd w:type="dxa" w:w="0"/>
    </w:tblPr>
  </w:style>
  <w:style w:styleId="Style_170" w:type="table">
    <w:name w:val="List Table 5 Dark - Accent 1"/>
    <w:basedOn w:val="Style_45"/>
    <w:pPr>
      <w:widowControl w:val="1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2026-10-27T11:38:18Z</dcterms:modified>
</cp:coreProperties>
</file>