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Аукционная документация аукциона в электронной форме</w:t>
      </w:r>
      <w:r>
        <w:rPr>
          <w:rFonts w:ascii="Times New Roman CYR" w:hAnsi="Times New Roman CYR"/>
          <w:sz w:val="22"/>
        </w:rPr>
        <w:t xml:space="preserve"> </w:t>
      </w:r>
      <w:r>
        <w:rPr>
          <w:rFonts w:ascii="Times New Roman CYR" w:hAnsi="Times New Roman CYR"/>
          <w:b/>
          <w:sz w:val="22"/>
        </w:rPr>
        <w:t>по продаже арестованного имущества.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567" w:leader="none"/>
          <w:tab w:val="left" w:pos="851" w:leader="none"/>
        </w:tabs>
        <w:ind w:left="0" w:right="0" w:firstLine="567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Понятия и термины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sz w:val="22"/>
        </w:rPr>
      </w:pPr>
      <w:r>
        <w:rPr>
          <w:b/>
          <w:sz w:val="22"/>
        </w:rPr>
        <w:t xml:space="preserve">- </w:t>
      </w:r>
      <w:r>
        <w:rPr>
          <w:rFonts w:ascii="Times New Roman CYR" w:hAnsi="Times New Roman CYR"/>
          <w:b/>
          <w:color w:val="000000"/>
          <w:sz w:val="22"/>
        </w:rPr>
        <w:t xml:space="preserve">Продавец </w:t>
      </w:r>
      <w:r>
        <w:rPr>
          <w:rFonts w:ascii="Times New Roman CYR" w:hAnsi="Times New Roman CYR"/>
          <w:b/>
          <w:sz w:val="22"/>
        </w:rPr>
        <w:t xml:space="preserve">-  </w:t>
      </w:r>
      <w:r>
        <w:rPr>
          <w:sz w:val="24"/>
        </w:rPr>
        <w:t>Территориальное Управление Росимущества в Камчатском крае.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08"/>
          <w:tab w:val="left" w:pos="567" w:leader="none"/>
          <w:tab w:val="left" w:pos="851" w:leader="none"/>
        </w:tabs>
        <w:ind w:left="0" w:right="0" w:firstLine="709"/>
        <w:jc w:val="both"/>
        <w:rPr>
          <w:rFonts w:ascii="Times New Roman CYR" w:hAnsi="Times New Roman CYR"/>
          <w:color w:val="000000"/>
          <w:sz w:val="22"/>
        </w:rPr>
      </w:pPr>
      <w:r>
        <w:rPr>
          <w:rFonts w:ascii="Times New Roman CYR" w:hAnsi="Times New Roman CYR"/>
          <w:b/>
          <w:color w:val="000000"/>
          <w:sz w:val="22"/>
        </w:rPr>
        <w:t>Предмет аукциона</w:t>
      </w:r>
      <w:r>
        <w:rPr>
          <w:rFonts w:ascii="Times New Roman CYR" w:hAnsi="Times New Roman CYR"/>
          <w:color w:val="000000"/>
          <w:sz w:val="22"/>
        </w:rPr>
        <w:t xml:space="preserve"> -</w:t>
      </w:r>
      <w:r>
        <w:rPr>
          <w:sz w:val="24"/>
        </w:rPr>
        <w:t xml:space="preserve"> выставленное на аукцион имущество должника, арестованное во исполнение судебных решений или актов органов, которым предоставлено право принимать решения об обращении взыскания на имущество, (далее – имущество);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color w:val="000000"/>
          <w:sz w:val="22"/>
        </w:rPr>
      </w:pPr>
      <w:r>
        <w:rPr>
          <w:rFonts w:ascii="Times New Roman CYR" w:hAnsi="Times New Roman CYR"/>
          <w:color w:val="000000"/>
          <w:sz w:val="22"/>
        </w:rPr>
        <w:t xml:space="preserve">- </w:t>
      </w:r>
      <w:r>
        <w:rPr>
          <w:rFonts w:ascii="Times New Roman CYR" w:hAnsi="Times New Roman CYR"/>
          <w:b/>
          <w:color w:val="000000"/>
          <w:sz w:val="22"/>
        </w:rPr>
        <w:t>Открытый аукцион в электронной форме</w:t>
      </w:r>
      <w:r>
        <w:rPr>
          <w:rFonts w:ascii="Times New Roman CYR" w:hAnsi="Times New Roman CYR"/>
          <w:color w:val="000000"/>
          <w:sz w:val="22"/>
        </w:rPr>
        <w:t xml:space="preserve"> – </w:t>
      </w:r>
      <w:r>
        <w:rPr>
          <w:sz w:val="24"/>
        </w:rPr>
        <w:t>аукцион по продаже арестованного имущества, открытый по составу участников и открытый по форме подачи предложения о цене, проводимый в электронной форме на электронной площадке, находящейся в сети интернет по адресу</w:t>
      </w:r>
      <w:r>
        <w:rPr>
          <w:rFonts w:ascii="Times New Roman CYR" w:hAnsi="Times New Roman CYR"/>
          <w:color w:val="000000"/>
          <w:sz w:val="22"/>
        </w:rPr>
        <w:t xml:space="preserve"> </w:t>
      </w:r>
      <w:hyperlink r:id="rId2">
        <w:r>
          <w:rPr>
            <w:rFonts w:ascii="Times New Roman CYR" w:hAnsi="Times New Roman CYR"/>
            <w:sz w:val="22"/>
          </w:rPr>
          <w:t>https://www.rts-tender.ru</w:t>
        </w:r>
      </w:hyperlink>
      <w:r>
        <w:rPr>
          <w:sz w:val="24"/>
        </w:rPr>
        <w:t xml:space="preserve"> (далее – аукцион);</w:t>
      </w:r>
    </w:p>
    <w:p>
      <w:pPr>
        <w:pStyle w:val="Normal"/>
        <w:widowControl w:val="false"/>
        <w:numPr>
          <w:ilvl w:val="0"/>
          <w:numId w:val="3"/>
        </w:numPr>
        <w:tabs>
          <w:tab w:val="clear" w:pos="708"/>
          <w:tab w:val="left" w:pos="567" w:leader="none"/>
          <w:tab w:val="left" w:pos="851" w:leader="none"/>
        </w:tabs>
        <w:ind w:left="0" w:right="0" w:firstLine="709"/>
        <w:jc w:val="both"/>
        <w:rPr>
          <w:rFonts w:ascii="Times New Roman CYR" w:hAnsi="Times New Roman CYR"/>
          <w:color w:val="000000"/>
          <w:sz w:val="22"/>
        </w:rPr>
      </w:pPr>
      <w:r>
        <w:rPr>
          <w:rFonts w:ascii="Times New Roman CYR" w:hAnsi="Times New Roman CYR"/>
          <w:b/>
          <w:color w:val="000000"/>
          <w:sz w:val="22"/>
        </w:rPr>
        <w:t>Начальная цена продажи имущества</w:t>
      </w:r>
      <w:r>
        <w:rPr>
          <w:rFonts w:ascii="Times New Roman CYR" w:hAnsi="Times New Roman CYR"/>
          <w:color w:val="000000"/>
          <w:sz w:val="22"/>
        </w:rPr>
        <w:t xml:space="preserve"> – </w:t>
      </w:r>
      <w:r>
        <w:rPr>
          <w:sz w:val="24"/>
        </w:rPr>
        <w:t xml:space="preserve">стоимость имущества, установлена </w:t>
        <w:br/>
        <w:t>постановлением судебного пристава - исполнителя о передаче арестованного имущества на торги или постановлением судебного пристава - исполнителя о снижении цены, имущества, переданного на реализацию.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 CYR" w:hAnsi="Times New Roman CYR"/>
          <w:sz w:val="22"/>
        </w:rPr>
        <w:t xml:space="preserve">- </w:t>
      </w:r>
      <w:r>
        <w:rPr>
          <w:rFonts w:ascii="Times New Roman CYR" w:hAnsi="Times New Roman CYR"/>
          <w:b/>
          <w:sz w:val="22"/>
        </w:rPr>
        <w:t xml:space="preserve">Заявка на участие в аукционе </w:t>
      </w:r>
      <w:r>
        <w:rPr>
          <w:b/>
          <w:sz w:val="22"/>
        </w:rPr>
        <w:t xml:space="preserve">- </w:t>
      </w:r>
      <w:r>
        <w:rPr>
          <w:sz w:val="24"/>
        </w:rPr>
        <w:t>полный комплект документов, предоставляемый заявителем продавцу для участия в аукционе (далее – заявка);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sz w:val="22"/>
        </w:rPr>
      </w:pPr>
      <w:r>
        <w:rPr>
          <w:sz w:val="24"/>
        </w:rPr>
        <w:t xml:space="preserve">- </w:t>
      </w:r>
      <w:r>
        <w:rPr>
          <w:rFonts w:ascii="Times New Roman CYR" w:hAnsi="Times New Roman CYR"/>
          <w:b/>
          <w:sz w:val="22"/>
        </w:rPr>
        <w:t>Заявитель</w:t>
      </w:r>
      <w:r>
        <w:rPr>
          <w:sz w:val="24"/>
        </w:rPr>
        <w:t xml:space="preserve"> - лицо, подающее продавцу заявку на участие в аукционе;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rFonts w:ascii="Times New Roman CYR" w:hAnsi="Times New Roman CYR"/>
          <w:sz w:val="22"/>
        </w:rPr>
        <w:t xml:space="preserve">- </w:t>
      </w:r>
      <w:r>
        <w:rPr>
          <w:rFonts w:ascii="Times New Roman CYR" w:hAnsi="Times New Roman CYR"/>
          <w:b/>
          <w:sz w:val="22"/>
        </w:rPr>
        <w:t>Претендент</w:t>
      </w:r>
      <w:r>
        <w:rPr>
          <w:rFonts w:ascii="Times New Roman CYR" w:hAnsi="Times New Roman CYR"/>
          <w:sz w:val="22"/>
        </w:rPr>
        <w:t xml:space="preserve"> – </w:t>
      </w:r>
      <w:r>
        <w:rPr>
          <w:sz w:val="24"/>
        </w:rPr>
        <w:t>лицо, подающее заявку на участие в аукционе и ожидающее соответствующего решения по результатам рассмотрения заявок.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sz w:val="22"/>
        </w:rPr>
      </w:pPr>
      <w:r>
        <w:rPr>
          <w:sz w:val="24"/>
        </w:rPr>
        <w:t>- Участник аукциона - претендент, допущенный к участию в аукционе.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Правовое регулирование</w:t>
      </w:r>
    </w:p>
    <w:p>
      <w:pPr>
        <w:pStyle w:val="ListParagraph1"/>
        <w:widowControl w:val="false"/>
        <w:tabs>
          <w:tab w:val="clear" w:pos="708"/>
          <w:tab w:val="left" w:pos="0" w:leader="none"/>
          <w:tab w:val="left" w:pos="284" w:leader="none"/>
          <w:tab w:val="left" w:pos="993" w:leader="none"/>
        </w:tabs>
        <w:spacing w:lineRule="auto" w:line="240" w:before="0" w:after="0"/>
        <w:ind w:left="0" w:right="0" w:firstLine="360"/>
        <w:contextualSpacing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ab/>
      </w:r>
      <w:r>
        <w:rPr>
          <w:rFonts w:ascii="Times New Roman" w:hAnsi="Times New Roman"/>
          <w:sz w:val="24"/>
        </w:rPr>
        <w:t xml:space="preserve">Аукцион проводится на электронной торговой площадке, находящейся в сети интернет по адресу https://www.rts-tender.ru, в соответствии со ст. 87, 89, 90, 91 ФЗ от 02 октября 2007г. № 229-ФЗ «Об исполнительном производстве», ст. 447-449 ГК РФ, регламентом электронной торговой площадки, размещенным на сайте </w:t>
      </w:r>
      <w:hyperlink r:id="rId3">
        <w:r>
          <w:rPr>
            <w:rFonts w:ascii="Times New Roman" w:hAnsi="Times New Roman"/>
            <w:sz w:val="24"/>
          </w:rPr>
          <w:t>https://www.rts-tender.ru</w:t>
        </w:r>
      </w:hyperlink>
      <w:r>
        <w:rPr>
          <w:rFonts w:ascii="Times New Roman" w:hAnsi="Times New Roman"/>
          <w:sz w:val="24"/>
        </w:rPr>
        <w:t>, в подразделе «Документы Электронной площадки «РТС-тендер» для проведения имущественных торгов» раздела «Имущество», иными нормативными документами электронной площадки.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Информационное обеспечение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left="0" w:right="0" w:firstLine="567"/>
        <w:jc w:val="both"/>
        <w:rPr>
          <w:rFonts w:ascii="Times New Roman CYR" w:hAnsi="Times New Roman CYR"/>
          <w:sz w:val="22"/>
        </w:rPr>
      </w:pPr>
      <w:r>
        <w:rPr>
          <w:sz w:val="24"/>
        </w:rPr>
        <w:t>Официальным сайтом для размещения информации о проведении настоящего аукциона в соответствии с Постановлением Правительства Российской Федерации от 10.09.2012г. № 909 «Об определении официального сайта Российской Федерации в информационно - 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 является сайт</w:t>
      </w:r>
      <w:r>
        <w:rPr>
          <w:rFonts w:ascii="Times New Roman CYR" w:hAnsi="Times New Roman CYR"/>
          <w:sz w:val="22"/>
        </w:rPr>
        <w:t xml:space="preserve"> </w:t>
      </w:r>
      <w:hyperlink r:id="rId4">
        <w:r>
          <w:rPr>
            <w:rFonts w:ascii="Times New Roman CYR" w:hAnsi="Times New Roman CYR"/>
            <w:sz w:val="22"/>
          </w:rPr>
          <w:t>http://www.torgi.gov.ru</w:t>
        </w:r>
      </w:hyperlink>
      <w:r>
        <w:rPr>
          <w:rFonts w:ascii="Times New Roman CYR" w:hAnsi="Times New Roman CYR"/>
          <w:sz w:val="22"/>
        </w:rPr>
        <w:t xml:space="preserve"> </w:t>
      </w:r>
      <w:r>
        <w:rPr>
          <w:sz w:val="24"/>
        </w:rPr>
        <w:t>(далее – официальный сайт). На указанном сайте будут публиковаться все изменения к аукционной документации, имеющие отношение к проведению торгов и иные предусмотренные законодательством документы. Информация о проведении продажи размещается на сайте продавца.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Требования к форме заявки на участие в аукционе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Заявитель подает на участие в аукционе заявку по форме, установленной в приложении № 1.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Требования к заявке на участие в аукционе</w:t>
      </w:r>
    </w:p>
    <w:p>
      <w:pPr>
        <w:pStyle w:val="Normal"/>
        <w:widowControl w:val="false"/>
        <w:tabs>
          <w:tab w:val="clear" w:pos="708"/>
          <w:tab w:val="left" w:pos="851" w:leader="none"/>
        </w:tabs>
        <w:ind w:left="567" w:right="0" w:hanging="0"/>
        <w:jc w:val="both"/>
        <w:rPr>
          <w:rFonts w:ascii="Times New Roman CYR" w:hAnsi="Times New Roman CYR"/>
          <w:sz w:val="22"/>
        </w:rPr>
      </w:pPr>
      <w:r>
        <w:rPr>
          <w:rFonts w:ascii="Times New Roman CYR" w:hAnsi="Times New Roman CYR"/>
          <w:b/>
          <w:sz w:val="22"/>
        </w:rPr>
        <w:t xml:space="preserve">5.1. Заявка на участие в аукционе должна содержать следующие сведения: 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1134" w:leader="none"/>
        </w:tabs>
        <w:ind w:left="720" w:right="0" w:hanging="360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для юридических лиц: фирменное наименование (наименование), сведения об организационно - правовой форме, о месте нахождения, почтовый адрес, банковские реквизиты;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- для индивидуальных предпринимателей: фамилия, имя, отчество (если имеется), паспортные данные, адрес места жительства, банковские реквизиты;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для физических лиц: фамилия, имя, отчество (если имеется), паспортные данные, адрес места жительства, банковские реквизиты.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 xml:space="preserve">5.2. К заявке прилагаются следующие документы: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Для юридических лиц: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копии учредительных документов, заверенные в соответствии с действующим законодательством;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копия свидетельства о регистрации, заверенная в соответствии с действующим законодательством;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протокол о назначении исполнительного органа;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решение уполномоченного органа об участии в торгах (для юр. лиц – резидентов РФ);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доверенность на лицо, уполномоченное действовать от имени заявителя при подаче заявки на участие в аукционе;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копия платежного документа.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Для индивидуальных предпринимателей: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- полученная не ранее чем за шесть месяцев до даты размещения на официальном сайте торгов извещения о проведении аукциона выписка из единого государственного реестра индивидуальных предпринимателей;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- нотариально заверенная доверенность на лицо, уполномоченное действовать от имени заявителя;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копия паспорта (страницы 2-3 и страницы с действующей регистрацией);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копия платежного документа.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Для физических лиц: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- копия паспорта заявителя (страницы 2-3 и страницы с действующей регистрацией);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- нотариально заверенная доверенность представителя физического лица;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- копия паспорта представителя физического лица (страницы 2-3 и страницы с действующей регистрацией); ;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копия платежного документа.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Для иностранных граждан и иностранных юридических лиц: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документов, удостоверяющих личность физического лица;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нотариально заверенная доверенность представителя физического лица;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- копия платежного документа.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30"/>
          <w:u w:val="single"/>
        </w:rPr>
      </w:pPr>
      <w:bookmarkStart w:id="0" w:name="_GoBack"/>
      <w:r>
        <w:rPr>
          <w:rFonts w:ascii="Times New Roman CYR" w:hAnsi="Times New Roman CYR"/>
          <w:b/>
          <w:sz w:val="22"/>
          <w:u w:val="single"/>
        </w:rPr>
        <w:t>Документы, поданные в архивированном файле, не рассматриваются.</w:t>
      </w:r>
      <w:bookmarkEnd w:id="0"/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Требования к участникам аукциона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ab/>
        <w:t>Участником аукциона может быть любое юридическое лицо независимо от организационно - 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иностранный гражданин, претендующее на заключение договора, соответствующие требованиям настоящей аукционной документации.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В соответствии с п. 5 ст. 449.1 ГК РФ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Условия допуска к участию в аукционе</w:t>
      </w:r>
    </w:p>
    <w:p>
      <w:pPr>
        <w:pStyle w:val="Normal"/>
        <w:widowControl w:val="false"/>
        <w:tabs>
          <w:tab w:val="clear" w:pos="708"/>
          <w:tab w:val="left" w:pos="0" w:leader="none"/>
        </w:tabs>
        <w:jc w:val="both"/>
        <w:rPr>
          <w:rFonts w:ascii="Times New Roman" w:hAnsi="Times New Roman"/>
          <w:sz w:val="24"/>
        </w:rPr>
      </w:pPr>
      <w:r>
        <w:rPr>
          <w:sz w:val="24"/>
        </w:rPr>
        <w:tab/>
        <w:t xml:space="preserve">К участию в торгах допускаются лица, которые в установленный в настоящем извещении срок внесли задаток за участие в торгах и направили надлежащим образом заявку с приложением установленного перечня документов. 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7.1.</w:t>
      </w:r>
      <w:r>
        <w:rPr>
          <w:rFonts w:ascii="Times New Roman CYR" w:hAnsi="Times New Roman CYR"/>
          <w:sz w:val="22"/>
        </w:rPr>
        <w:t xml:space="preserve"> </w:t>
      </w:r>
      <w:r>
        <w:rPr>
          <w:rFonts w:ascii="Times New Roman CYR" w:hAnsi="Times New Roman CYR"/>
          <w:b/>
          <w:sz w:val="22"/>
        </w:rPr>
        <w:t>Заявитель не допускается комиссией к участию в аукционе в случаях: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1) непредставления документов, определенных пунктом 5 настоящей аукционной документации, либо наличия в таких документах недостоверных сведений;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2) несоответствия заявки на участие в аукционе требованиям аукционной документации;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3) предусмотренных п. 8.2.4 регламента Работы ЭП «РТС-Тендер»;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4) не подтверждено поступление задатка в установленный срок.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В случае установления факта недостоверности сведений, содержащихся в документах, представленных заявителем или участником торгов в соответствии с пунктом 5 настоящей аукционной документации, комиссия обязана отстранить такого претендента или участника торгов от участия в аукционе на любом этапе его проведения.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7.2. Уведомление о не допуске Заявителей к участию в аукционе: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Уведомление о не допуске Заявителя к участию в аукционе с указанием причин такового направляется оператором электронной площадки Заявителю в день рассмотрения заявок.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ind w:left="0" w:right="57" w:firstLine="567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Порядок получения разъяснений аукционной документации, ознакомления с условиями договора купли -продажи, а также ознакомления с документами на имущество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 CYR" w:hAnsi="Times New Roman CYR"/>
          <w:sz w:val="22"/>
        </w:rPr>
      </w:pPr>
      <w:r>
        <w:rPr>
          <w:sz w:val="24"/>
        </w:rPr>
        <w:t>Заявитель вправе обратиться за разъяснением положений настоящей аукционной документации к продавцу торгов. Получить дополнительную информацию о торгах и о правилах их проведения, ознакомиться с формой заявления, с проектом договора купли - продажи можно на официальном сайте</w:t>
      </w:r>
      <w:r>
        <w:rPr>
          <w:rFonts w:ascii="Times New Roman CYR" w:hAnsi="Times New Roman CYR"/>
          <w:sz w:val="22"/>
        </w:rPr>
        <w:t xml:space="preserve"> </w:t>
      </w:r>
      <w:hyperlink r:id="rId5">
        <w:r>
          <w:rPr>
            <w:rFonts w:ascii="Times New Roman CYR" w:hAnsi="Times New Roman CYR"/>
            <w:sz w:val="22"/>
          </w:rPr>
          <w:t>http://www.torgi.gov.ru</w:t>
        </w:r>
      </w:hyperlink>
      <w:r>
        <w:rPr>
          <w:rFonts w:ascii="Times New Roman CYR" w:hAnsi="Times New Roman CYR"/>
          <w:sz w:val="22"/>
        </w:rPr>
        <w:t xml:space="preserve">, </w:t>
      </w:r>
      <w:r>
        <w:rPr>
          <w:sz w:val="24"/>
        </w:rPr>
        <w:t>сайте электронной торговой площадки на сайте</w:t>
      </w:r>
      <w:r>
        <w:rPr>
          <w:rFonts w:ascii="Times New Roman CYR" w:hAnsi="Times New Roman CYR"/>
          <w:sz w:val="22"/>
        </w:rPr>
        <w:t xml:space="preserve"> </w:t>
      </w:r>
      <w:hyperlink r:id="rId6">
        <w:r>
          <w:rPr>
            <w:rFonts w:ascii="Times New Roman CYR" w:hAnsi="Times New Roman CYR"/>
            <w:sz w:val="22"/>
          </w:rPr>
          <w:t>https://www.rts-tender.ru</w:t>
        </w:r>
      </w:hyperlink>
      <w:r>
        <w:rPr>
          <w:rFonts w:ascii="Times New Roman CYR" w:hAnsi="Times New Roman CYR"/>
          <w:sz w:val="22"/>
        </w:rPr>
        <w:t>.</w:t>
      </w:r>
      <w:r>
        <w:rPr>
          <w:sz w:val="24"/>
        </w:rPr>
        <w:t xml:space="preserve"> Ознакомление с предметом торгов проводится по предварительной записи по телефону (84152) 42-42-49.Ознакомиться с документами на имущество заявитель может обратиться в ТУ Росимущества в Камчатском крае по адресу: г. Петропавловск-Камчатский, ул. Красинцев, д. 19, каб. №100, тел. 8(4152)42-42-49; по рабочим дням с 09.00 до 16.00 часов (пятница с 09.00 до 13.00 часов), а также путем направления запроса на электронную почту продавца, либо через личный кабинет на электронной площадке «РТС-Тендер».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567" w:leader="none"/>
          <w:tab w:val="left" w:pos="851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Порядок оформления и подачи заявки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Заявка представляет собой полный комплект документов, представляемых заявителем для участия в аукционе. Заявка и все документы, связанные с этой заявкой, должны составляться на русском языке и однозначно обеспечивать восприятие их содержания.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Заявитель направляет заявку с приложенными документами в установленный срок в форме скан-образов документов через электронную площадку. Документы, подаваемые юридическим лицом направляются в виде скан-образов документов, подписанных уполномоченным лицом и печатью организации.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Заявка принимается электронной площадкой при условии наличия на счету заявителя достаточных денежных средств для обеспечения участия в аукционе, в сумме, установленной электронной площадкой в соответствии с нормативными документами электронной площадки.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Заявитель вправе подать только одну заявку в отношении лота аукциона с полным пакетом документов по нему.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Заявитель несет все расходы, связанные с подготовкой и подачей своей заявки на участие в аукционе, а продавец не несет при этом обязательств по расходам, за исключением случаев, прямо предусмотренных действующим законодательством.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Подача заявки осуществляется через электронную площадку в соответствии с регламентом электронной торговой площадки, размещенным на сайте</w:t>
      </w:r>
      <w:r>
        <w:rPr>
          <w:rFonts w:ascii="Times New Roman CYR" w:hAnsi="Times New Roman CYR"/>
          <w:sz w:val="22"/>
        </w:rPr>
        <w:t xml:space="preserve"> </w:t>
      </w:r>
      <w:hyperlink r:id="rId7">
        <w:r>
          <w:rPr>
            <w:rFonts w:ascii="Times New Roman CYR" w:hAnsi="Times New Roman CYR"/>
            <w:sz w:val="22"/>
          </w:rPr>
          <w:t>https://www.rts-tender.ru</w:t>
        </w:r>
      </w:hyperlink>
      <w:r>
        <w:rPr>
          <w:rFonts w:ascii="Times New Roman CYR" w:hAnsi="Times New Roman CYR"/>
          <w:sz w:val="22"/>
        </w:rPr>
        <w:t xml:space="preserve">, </w:t>
      </w:r>
      <w:r>
        <w:rPr>
          <w:sz w:val="24"/>
        </w:rPr>
        <w:t>в подразделе «Документы Электронной площадки «РТС-тендер» для проведения имущественных торгов» раздела «Имущество», иными нормативными документами электронной площадки.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 CYR" w:hAnsi="Times New Roman CYR"/>
          <w:sz w:val="22"/>
        </w:rPr>
      </w:pPr>
      <w:r>
        <w:rPr>
          <w:sz w:val="24"/>
        </w:rPr>
        <w:t>Участие в торгах производится в соответствии с тарифами, установленными нормативными документами электронной площадки и размещенными на сайте</w:t>
      </w:r>
      <w:r>
        <w:rPr>
          <w:rFonts w:ascii="Times New Roman CYR" w:hAnsi="Times New Roman CYR"/>
          <w:sz w:val="22"/>
        </w:rPr>
        <w:t xml:space="preserve"> </w:t>
      </w:r>
      <w:hyperlink r:id="rId8">
        <w:r>
          <w:rPr>
            <w:rFonts w:ascii="Times New Roman CYR" w:hAnsi="Times New Roman CYR"/>
            <w:sz w:val="22"/>
          </w:rPr>
          <w:t>https://www.rts-tender.ru</w:t>
        </w:r>
      </w:hyperlink>
      <w:r>
        <w:rPr>
          <w:rFonts w:ascii="Times New Roman CYR" w:hAnsi="Times New Roman CYR"/>
          <w:sz w:val="22"/>
        </w:rPr>
        <w:t xml:space="preserve">, </w:t>
      </w:r>
      <w:r>
        <w:rPr>
          <w:sz w:val="24"/>
        </w:rPr>
        <w:t>в разделе «Тарифы».</w:t>
      </w:r>
    </w:p>
    <w:p>
      <w:pPr>
        <w:pStyle w:val="ListParagraph1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851" w:leader="none"/>
        </w:tabs>
        <w:spacing w:lineRule="auto" w:line="240" w:before="0" w:after="0"/>
        <w:ind w:left="0" w:right="0" w:firstLine="567"/>
        <w:contextualSpacing/>
        <w:jc w:val="both"/>
        <w:rPr>
          <w:rFonts w:ascii="Times New Roman CYR" w:hAnsi="Times New Roman CYR"/>
          <w:b/>
          <w:b/>
        </w:rPr>
      </w:pPr>
      <w:r>
        <w:rPr>
          <w:rFonts w:ascii="Times New Roman CYR" w:hAnsi="Times New Roman CYR"/>
          <w:b/>
        </w:rPr>
        <w:t xml:space="preserve"> </w:t>
      </w:r>
      <w:r>
        <w:rPr>
          <w:rFonts w:ascii="Times New Roman CYR" w:hAnsi="Times New Roman CYR"/>
          <w:b/>
        </w:rPr>
        <w:t>Порядок и срок отзыва заявок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 CYR" w:hAnsi="Times New Roman CYR"/>
          <w:sz w:val="22"/>
        </w:rPr>
      </w:pPr>
      <w:r>
        <w:rPr>
          <w:sz w:val="24"/>
        </w:rPr>
        <w:t>Заявитель вправе отозвать заявку в любое время до момента окончания подачи заявок на участие в аукционе путем направления соответствующего уведомления оператору электронной площадки в соответствии с регламентом электронной торговой площадки, размещенным на сайте</w:t>
      </w:r>
      <w:r>
        <w:rPr>
          <w:rFonts w:ascii="Times New Roman CYR" w:hAnsi="Times New Roman CYR"/>
          <w:sz w:val="22"/>
        </w:rPr>
        <w:t xml:space="preserve"> </w:t>
      </w:r>
      <w:hyperlink r:id="rId9">
        <w:r>
          <w:rPr>
            <w:rFonts w:ascii="Times New Roman CYR" w:hAnsi="Times New Roman CYR"/>
            <w:sz w:val="22"/>
          </w:rPr>
          <w:t>https://www.rts-tender.ru</w:t>
        </w:r>
      </w:hyperlink>
      <w:r>
        <w:rPr>
          <w:rFonts w:ascii="Times New Roman CYR" w:hAnsi="Times New Roman CYR"/>
          <w:sz w:val="22"/>
        </w:rPr>
        <w:t xml:space="preserve">, </w:t>
      </w:r>
      <w:r>
        <w:rPr>
          <w:sz w:val="24"/>
        </w:rPr>
        <w:t>в подразделе «Документы Электронной площадки «РТС-тендер» для проведения имущественных торгов» раздела «Имущество», иными нормативными документами электронной площадки.</w:t>
      </w:r>
    </w:p>
    <w:p>
      <w:pPr>
        <w:pStyle w:val="ListParagraph1"/>
        <w:widowControl w:val="false"/>
        <w:numPr>
          <w:ilvl w:val="0"/>
          <w:numId w:val="1"/>
        </w:numPr>
        <w:tabs>
          <w:tab w:val="clear" w:pos="708"/>
          <w:tab w:val="left" w:pos="567" w:leader="none"/>
          <w:tab w:val="left" w:pos="851" w:leader="none"/>
        </w:tabs>
        <w:spacing w:lineRule="auto" w:line="240" w:before="0" w:after="0"/>
        <w:ind w:left="0" w:right="0" w:firstLine="567"/>
        <w:contextualSpacing/>
        <w:jc w:val="both"/>
        <w:rPr>
          <w:rFonts w:ascii="Times New Roman CYR" w:hAnsi="Times New Roman CYR"/>
          <w:b/>
          <w:b/>
        </w:rPr>
      </w:pPr>
      <w:r>
        <w:rPr>
          <w:rFonts w:ascii="Times New Roman CYR" w:hAnsi="Times New Roman CYR"/>
          <w:b/>
        </w:rPr>
        <w:t>Порядок приема и рассмотрения заявок на участие в аукционе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-142" w:right="0" w:firstLine="709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Аукционная комиссия рассматривает заявки на предмет соответствия требованиям, установленным в извещении об аукционе, и соответствия заявителей требованиям, установленным настоящей документацией.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-142" w:right="0" w:firstLine="709"/>
        <w:jc w:val="both"/>
        <w:rPr>
          <w:rFonts w:ascii="Times New Roman" w:hAnsi="Times New Roman"/>
          <w:sz w:val="24"/>
        </w:rPr>
      </w:pPr>
      <w:r>
        <w:rPr>
          <w:sz w:val="24"/>
        </w:rPr>
        <w:t>На основании результатов рассмотрения заявок на участие в аукционе комиссией принимается решение о допуске к участию в аукционе заявителя и о признании заявителя участником торгов или об отказе в допуске такого заявителя к участию в аукционе.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В день рассмотрения заявок заявителю электронной площадкой направляется уведомление о допуске/не допуске к участию в аукционе.</w:t>
      </w:r>
    </w:p>
    <w:p>
      <w:pPr>
        <w:pStyle w:val="ListParagraph1"/>
        <w:widowControl w:val="false"/>
        <w:numPr>
          <w:ilvl w:val="0"/>
          <w:numId w:val="1"/>
        </w:numPr>
        <w:tabs>
          <w:tab w:val="clear" w:pos="708"/>
          <w:tab w:val="left" w:pos="0" w:leader="none"/>
          <w:tab w:val="left" w:pos="298" w:leader="none"/>
          <w:tab w:val="left" w:pos="993" w:leader="none"/>
        </w:tabs>
        <w:spacing w:lineRule="auto" w:line="240" w:before="0" w:after="0"/>
        <w:ind w:left="0" w:right="0" w:firstLine="567"/>
        <w:contextualSpacing/>
        <w:jc w:val="both"/>
        <w:rPr>
          <w:rFonts w:ascii="Times New Roman CYR" w:hAnsi="Times New Roman CYR"/>
          <w:b/>
          <w:b/>
        </w:rPr>
      </w:pPr>
      <w:r>
        <w:rPr>
          <w:rFonts w:ascii="Times New Roman CYR" w:hAnsi="Times New Roman CYR"/>
          <w:b/>
        </w:rPr>
        <w:t>Порядок проведения аукциона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Процедура аукциона проводится в день и время, указанные в извещении о проведении торгов, путем повышения участниками начальной цены на величину, равную либо кратную величине «шага аукциона».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Победителем аукциона признается лицо, предложившее наибольшую покупную цену имущества.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Протокол об итогах аукциона публикуется на электронной площадке и содержит в себе информацию о результатах проведения аукциона, в том числе о победителе и его ценовом предложении. 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Продавец и победитель аукциона подписывают Протокол о результатах аукциона вдень проведения аукциона (по адресу Продавца или в электронном виде посредством электронной почты (для иногородних участников торгов). Время прибытия для подписания Протокола необходимо согласовать по тел: 8 (4152) 42-42-49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Оплата имущества победителем аукциона производится в течение 5 рабочих дней после даты подписания протокола о результатах аукциона.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Данный протокол является основанием для заключения договора купли - продажи.</w:t>
      </w:r>
    </w:p>
    <w:p>
      <w:pPr>
        <w:pStyle w:val="ListParagraph1"/>
        <w:widowControl w:val="false"/>
        <w:numPr>
          <w:ilvl w:val="0"/>
          <w:numId w:val="1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left="0" w:right="0" w:firstLine="567"/>
        <w:contextualSpacing/>
        <w:jc w:val="both"/>
        <w:rPr>
          <w:rFonts w:ascii="Times New Roman CYR" w:hAnsi="Times New Roman CYR"/>
          <w:b/>
          <w:b/>
        </w:rPr>
      </w:pPr>
      <w:r>
        <w:rPr>
          <w:rFonts w:ascii="Times New Roman CYR" w:hAnsi="Times New Roman CYR"/>
          <w:b/>
        </w:rPr>
        <w:t>Порядок заключения договора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Договор купли - продажи заключается не ранее 10 дней со дня подписания протокола о результатах торгов.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ab/>
        <w:t>Победитель аукциона самостоятельно осуществляет снятие арестов, запретов на совершение регистрационных действий иных обременений имущества, обратившись к судебному приставу - исполнителю, передавшему имущество для реализации, а также в суды, вынесшие соответствующие судебные акты, органы государственной и муниципальной власти.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 xml:space="preserve">На основании части 1 статьи 42 Федерального закона от 13.07.2015 года </w:t>
        <w:br/>
        <w:t>№ 218-ФЗ «О государственной регистрации недвижимости» договоры купли-продажи доли (долей) в общей долевой собственности на арестованный объект недвижимого имущества, в том числе при передаче на реализацию целиком (а не долей в нем), принадлежащего нескольким должникам, подлежат нотариальному удостоверению. Победитель торгов несет все расходы, связанные с удостоверением вышеуказанных договоров.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567" w:right="0" w:hanging="0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14. Признание аукциона несостоявшимся, последствия признания аукциона несостоявшимся.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1) заявки на участие в аукционе подали менее двух лиц;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2) на аукцион не явились участники аукциона либо явился один участник аукциона;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3) из явившихся участников аукциона никто не сделал надбавки к начальной цене имущества;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4) лицо, выигравшее аукцион, в течение пяти дней со дня проведения аукциона не оплатило стоимость имущества в полном объеме.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567" w:right="0" w:hanging="0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15. Порядок внесения задатка: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Заявители обязаны внести задаток в необходимом размере до окончания приема заявок.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Задаток должен быть внесен в необходимом размере до окончания приема заявок, по реквизитам Электронной площадки «РТС-Тендер»: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b/>
          <w:b/>
          <w:sz w:val="24"/>
        </w:rPr>
      </w:pPr>
      <w:r>
        <w:rPr>
          <w:b/>
          <w:sz w:val="24"/>
        </w:rPr>
        <w:t>Получатель ООО «РТС-тендер»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b/>
          <w:b/>
          <w:sz w:val="24"/>
        </w:rPr>
      </w:pPr>
      <w:r>
        <w:rPr>
          <w:b/>
          <w:sz w:val="24"/>
        </w:rPr>
        <w:t>Наименование банка Филиал «Корпоративный» ПАО «Совкомбанк»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b/>
          <w:b/>
          <w:sz w:val="24"/>
        </w:rPr>
      </w:pPr>
      <w:r>
        <w:rPr>
          <w:b/>
          <w:sz w:val="24"/>
        </w:rPr>
        <w:t>Расчетный счёт 40702810512030016362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b/>
          <w:b/>
          <w:sz w:val="24"/>
        </w:rPr>
      </w:pPr>
      <w:r>
        <w:rPr>
          <w:b/>
          <w:sz w:val="24"/>
        </w:rPr>
        <w:t>Корр. счёт 30101810445250000360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b/>
          <w:b/>
          <w:sz w:val="24"/>
        </w:rPr>
      </w:pPr>
      <w:r>
        <w:rPr>
          <w:b/>
          <w:sz w:val="24"/>
        </w:rPr>
        <w:t xml:space="preserve">БИК 044525360 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b/>
          <w:b/>
          <w:sz w:val="24"/>
        </w:rPr>
      </w:pPr>
      <w:r>
        <w:rPr>
          <w:b/>
          <w:sz w:val="24"/>
        </w:rPr>
        <w:t>ИНН 7710357167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b/>
          <w:b/>
          <w:sz w:val="24"/>
        </w:rPr>
      </w:pPr>
      <w:r>
        <w:rPr>
          <w:b/>
          <w:sz w:val="24"/>
        </w:rPr>
        <w:t>КПП 773001001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Назначение платежа: «Внесение гарантийного обеспечения по Соглашению о внесении гарантийного обеспечения, № аналитического счета _________».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" w:hAnsi="Times New Roman"/>
          <w:sz w:val="24"/>
        </w:rPr>
      </w:pPr>
      <w:r>
        <w:rPr>
          <w:sz w:val="24"/>
        </w:rPr>
        <w:t>Указанное извещение является публичной офертой для заключения договора о задатке в соответствии со ст. 437 Гражданского кодекса РФ.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 CYR" w:hAnsi="Times New Roman CYR"/>
          <w:sz w:val="22"/>
          <w:u w:val="single"/>
        </w:rPr>
      </w:pPr>
      <w:r>
        <w:rPr>
          <w:rFonts w:ascii="Times New Roman CYR" w:hAnsi="Times New Roman CYR"/>
          <w:b/>
          <w:sz w:val="22"/>
          <w:u w:val="single"/>
        </w:rPr>
        <w:t>ДЕНЕЖНЫЕ СРЕДСТВА, ПЕРЕЧИСЛЕННЫЕ ЗА УЧАСТИЕ В АУКЦИОНЕ ТРЕТЬИМ ЛИЦОМ - НЕ ЗАЧИСЛЯЮТСЯ</w:t>
      </w:r>
      <w:r>
        <w:rPr>
          <w:rFonts w:ascii="Times New Roman CYR" w:hAnsi="Times New Roman CYR"/>
          <w:b/>
          <w:color w:val="000000"/>
          <w:sz w:val="28"/>
          <w:u w:val="single"/>
        </w:rPr>
        <w:t>.</w:t>
      </w:r>
    </w:p>
    <w:p>
      <w:pPr>
        <w:pStyle w:val="Normal"/>
        <w:widowControl w:val="false"/>
        <w:tabs>
          <w:tab w:val="clear" w:pos="708"/>
          <w:tab w:val="left" w:pos="567" w:leader="none"/>
          <w:tab w:val="left" w:pos="993" w:leader="none"/>
        </w:tabs>
        <w:ind w:left="0" w:right="0" w:firstLine="567"/>
        <w:jc w:val="both"/>
        <w:rPr>
          <w:rFonts w:ascii="Times New Roman CYR" w:hAnsi="Times New Roman CYR"/>
          <w:b/>
          <w:b/>
          <w:sz w:val="22"/>
        </w:rPr>
      </w:pPr>
      <w:r>
        <w:rPr>
          <w:rFonts w:ascii="Times New Roman CYR" w:hAnsi="Times New Roman CYR"/>
          <w:b/>
          <w:sz w:val="22"/>
        </w:rPr>
        <w:t>16. Возврат и удержание задатка.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Возврат задатка осуществляется электронной площадкой «РТС-тендер» в соответствии с соглашением о гарантийном обеспечении на электронной площадке «РТС-тендер» Имущественные торги.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Денежные средства, внесенные в качестве задатка на участие в аукционе победителем торгов зачитываются в качестве оплаты покупной цены имущества. 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Внесенный задаток не возвращается победителю в случае, если он: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не подпишет в установленный срок протокол о результатах торгов;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не оплатит стоимость имущества в срок, установленный протоколом о результатах аукциона.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Приложение № 1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к Аукционной документации открытого аукциона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в электронной форме по продаже арестованного имущества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right"/>
        <w:rPr/>
      </w:pPr>
      <w:r>
        <w:rPr/>
      </w:r>
    </w:p>
    <w:p>
      <w:pPr>
        <w:pStyle w:val="Normal"/>
        <w:keepNext w:val="true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/>
          <w:b/>
          <w:b/>
          <w:spacing w:val="-6"/>
        </w:rPr>
      </w:pPr>
      <w:r>
        <w:rPr>
          <w:rFonts w:ascii="Times New Roman CYR" w:hAnsi="Times New Roman CYR"/>
          <w:b/>
        </w:rPr>
        <w:t>ЗАЯВКА НА УЧАСТИЕ В АУКЦИОНЕ</w:t>
      </w:r>
    </w:p>
    <w:p>
      <w:pPr>
        <w:pStyle w:val="ConsPlusNonformat1"/>
        <w:widowControl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/>
        <w:ind w:left="0" w:right="0" w:firstLine="708"/>
        <w:jc w:val="both"/>
        <w:rPr/>
      </w:pPr>
      <w:r>
        <w:rPr/>
        <w:t>1. Ознакомившись с информационным извещением о проведении аукциона по продаже арестованного имущества_______________________________________________</w:t>
      </w:r>
    </w:p>
    <w:p>
      <w:pPr>
        <w:pStyle w:val="Normal"/>
        <w:widowControl/>
        <w:ind w:left="0" w:right="0" w:firstLine="708"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 xml:space="preserve">_____________________________________________________________________________, опубликованном на сайте </w:t>
      </w:r>
      <w:hyperlink r:id="rId10">
        <w:r>
          <w:rPr/>
          <w:t>www.torgi.gov.ru</w:t>
        </w:r>
      </w:hyperlink>
      <w:r>
        <w:rPr/>
        <w:t xml:space="preserve"> и на сайте электронной площадки   https://www.rts-tender.ru и изучив предмет аукциона, 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widowControl/>
        <w:jc w:val="center"/>
        <w:rPr/>
      </w:pPr>
      <w:r>
        <w:rPr/>
        <w:t>(для юридического лица - полное наименование; для физического лица - Ф.И.О.)</w:t>
      </w:r>
    </w:p>
    <w:p>
      <w:pPr>
        <w:pStyle w:val="Normal"/>
        <w:widowControl/>
        <w:jc w:val="both"/>
        <w:rPr/>
      </w:pPr>
      <w:r>
        <w:rPr/>
        <w:t>_____________________________________________________________________________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 xml:space="preserve"> </w:t>
      </w:r>
      <w:r>
        <w:rPr/>
        <w:t xml:space="preserve">(далее - "Заявитель"), в лице ____________________________________________________, 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>действующего на основании_____________________________________________________</w:t>
      </w:r>
    </w:p>
    <w:p>
      <w:pPr>
        <w:pStyle w:val="Normal"/>
        <w:widowControl/>
        <w:jc w:val="both"/>
        <w:rPr/>
      </w:pPr>
      <w:r>
        <w:rPr/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просит принять настоящую заявку на участие в аукционе, проводимого Территориальным управлением Росимущества в Камчатском крае (далее - "Организатор торгов") «____» ______________20___г. в ____ ч. ____ мин. по московскому времени на электронной торговой площадке, находящейся в сети интернет по адресу </w:t>
        <w:br/>
      </w:r>
      <w:hyperlink r:id="rId11">
        <w:r>
          <w:rPr>
            <w:rFonts w:ascii="Times New Roman" w:hAnsi="Times New Roman"/>
            <w:sz w:val="24"/>
          </w:rPr>
          <w:t>https://www.rts-tender.ru</w:t>
        </w:r>
      </w:hyperlink>
      <w:r>
        <w:rPr>
          <w:rFonts w:ascii="Times New Roman" w:hAnsi="Times New Roman"/>
          <w:sz w:val="24"/>
        </w:rPr>
        <w:t>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Подавая настоящую заявку на участие в аукционе, Заявитель обязуется соблюдать условия проведения аукциона, содержащиеся в указанном выше извещении.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Настоящим Заявитель подтверждает, что он ознакомлен с проектом Протокола о результатах аукциона /проектом Договора купли - продажи имущества и принимает его полностью.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В случае признания победителем аукциона Заявитель обязуется:</w:t>
      </w:r>
    </w:p>
    <w:p>
      <w:pPr>
        <w:pStyle w:val="ConsPlusNormal1"/>
        <w:widowControl/>
        <w:ind w:left="540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подписать Протокол о результатах аукциона;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оплатить реализуемое имущество по цене, в порядке и сроки, установленные подписанным Протоколом о результатах аукциона.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Заявитель осведомлен о том, что выставленное на аукцион имущество продается на основании Постановления судебного пристава-исполнителя о передаче арестованного имущества на торги и согласен с тем, что: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- проданное на аукционе имущество возврату не подлежит и что Организатор аукциона не несет ответственности за качество проданного имущества;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организатор аукциона не несет ответственности за ущерб, который может быть причинен 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об отложении, приостановлении или прекращении исполнительного производства, либо уведомления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отзыва государственным органом заявки на реализацию имущества или уменьшения объема (количества) выставленного на торги имущества;</w:t>
      </w:r>
    </w:p>
    <w:p>
      <w:pPr>
        <w:pStyle w:val="ConsPlusNormal1"/>
        <w:widowControl/>
        <w:ind w:left="0" w:right="0"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действия по снятию арестов, запретов на совершение регистрационных действий иных обременений имущества осуществляются победителем самостоятельно, путем обращения к судебному приставу-исполнителю, передавшему имущество для реализации. 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Заявитель осведомлен о том, что он вправе отозвать настоящую заявку до момента приобретения им статуса участника аукциона и что сумма внесенного задатка возвращается Заявителю в следующем порядке: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случае, если Заявитель не будет допущен к участию в аукционе, Территориальное управление обязуется возвратить сумму внесенного Заявителем задатка в течение 5 (пяти) рабочих дней с даты оформления Комиссией по проведению аукционов Протокола окончания приема и регистрации заявок на участие в аукционе;</w:t>
      </w:r>
    </w:p>
    <w:p>
      <w:pPr>
        <w:pStyle w:val="Normal"/>
        <w:widowControl/>
        <w:jc w:val="both"/>
        <w:rPr/>
      </w:pPr>
      <w:r>
        <w:rPr/>
        <w:tab/>
        <w:t>- в случае, если Заявитель участвовал в аукционе, но не выиграл его, Территориальное управление обязуется возвратить сумму внесенного Заявителем задатка в течение 5 (пяти) рабочих дней со дня проведения аукциона;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случае отзыва Заявителем заявки на участие в аукционе до момента приобретения им статуса участника аукциона Территориальное управление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заявки;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случае признания аукциона несостоявшимся, Территориальное управление обязуется возвратить сумму внесенного Заявителем задатка в течение 5 (пяти) рабочих дней со дня принятия комиссией по проведению аукционов решения об объявлении аукциона несостоявшимся;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в случае отмены аукциона по продаже имущества Территориальное управление возвращает сумму внесенного Заявителем задатка в течение 5 (пяти) рабочих дней со дня принятия Комиссией по проведению аукционов решения об отмене аукциона.</w:t>
      </w:r>
    </w:p>
    <w:p>
      <w:pPr>
        <w:pStyle w:val="ConsPlusNormal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Подавая настоящую заявку, Заявитель предоставляет свое согласие на обработку персональных данных, а именно ФИО, паспортных данных, ИНН и иных данных в соответствии с </w:t>
      </w:r>
      <w:hyperlink r:id="rId12">
        <w:r>
          <w:rPr>
            <w:rFonts w:ascii="Times New Roman" w:hAnsi="Times New Roman"/>
            <w:color w:val="000000"/>
            <w:sz w:val="24"/>
            <w:u w:val="none"/>
          </w:rPr>
          <w:t>п. 4 ст. 9</w:t>
        </w:r>
      </w:hyperlink>
      <w:r>
        <w:rPr>
          <w:rFonts w:ascii="Times New Roman" w:hAnsi="Times New Roman"/>
          <w:sz w:val="24"/>
        </w:rPr>
        <w:t xml:space="preserve"> Федерального закона от 27.07.2006  № 152-ФЗ  «О персональных данных» с целью оформления Протокола о результатах аукциона, Договора купли-продажи и иных документов, необходимых для организации и проведения аукциона и иных процедур, связанных с проведением аукциона. </w:t>
      </w:r>
    </w:p>
    <w:p>
      <w:pPr>
        <w:pStyle w:val="ConsPlusNonformat1"/>
        <w:widowControl/>
        <w:ind w:left="0" w:right="0"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Место нахождения и банковские реквизиты Заявителя: 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</w:t>
      </w:r>
    </w:p>
    <w:p>
      <w:pPr>
        <w:pStyle w:val="Normal"/>
        <w:rPr/>
      </w:pPr>
      <w:r>
        <w:rPr/>
        <w:tab/>
        <w:t>ИНН (физ. лица) 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Е-mail__________________________________________________________________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банк____________________________________________________________________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р/счет______________________________ к/счет_______________________________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ИНН____________________________КПП___________________________________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ОГРН__________________________________________________________________</w:t>
      </w:r>
    </w:p>
    <w:p>
      <w:pPr>
        <w:pStyle w:val="ConsPlusNonformat1"/>
        <w:widowControl/>
        <w:ind w:left="708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Приложение № 2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к Аукционной документации открытого аукциона 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>в электронной форме по продаже арестованного имущества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/>
          <w:b/>
          <w:b/>
          <w:caps/>
        </w:rPr>
      </w:pPr>
      <w:r>
        <w:rPr>
          <w:rFonts w:ascii="Times New Roman CYR" w:hAnsi="Times New Roman CYR"/>
          <w:b/>
          <w:caps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/>
          <w:b/>
          <w:b/>
          <w:caps/>
        </w:rPr>
      </w:pPr>
      <w:r>
        <w:rPr>
          <w:rFonts w:ascii="Times New Roman CYR" w:hAnsi="Times New Roman CYR"/>
          <w:b/>
          <w:caps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/>
          <w:b/>
          <w:b/>
          <w:caps/>
        </w:rPr>
      </w:pPr>
      <w:r>
        <w:rPr>
          <w:rFonts w:ascii="Times New Roman CYR" w:hAnsi="Times New Roman CYR"/>
          <w:b/>
          <w:caps/>
        </w:rPr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/>
          <w:i/>
          <w:i/>
        </w:rPr>
      </w:pPr>
      <w:r>
        <w:rPr>
          <w:rFonts w:ascii="Times New Roman CYR" w:hAnsi="Times New Roman CYR"/>
          <w:b/>
          <w:caps/>
        </w:rPr>
        <w:t>Договор купли-продажи</w:t>
      </w:r>
      <w:r>
        <w:rPr>
          <w:rFonts w:ascii="Times New Roman CYR" w:hAnsi="Times New Roman CYR"/>
          <w:b/>
        </w:rPr>
        <w:t xml:space="preserve"> </w:t>
      </w:r>
      <w:r>
        <w:rPr>
          <w:rFonts w:ascii="Times New Roman CYR" w:hAnsi="Times New Roman CYR"/>
          <w:i/>
        </w:rPr>
        <w:t>(проект)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jc w:val="center"/>
        <w:rPr>
          <w:rFonts w:ascii="Times New Roman CYR" w:hAnsi="Times New Roman CYR"/>
          <w:b/>
          <w:b/>
        </w:rPr>
      </w:pPr>
      <w:r>
        <w:rPr>
          <w:rFonts w:ascii="Times New Roman CYR" w:hAnsi="Times New Roman CYR"/>
          <w:b/>
        </w:rPr>
      </w:r>
    </w:p>
    <w:tbl>
      <w:tblPr>
        <w:tblStyle w:val="Style_6"/>
        <w:tblW w:w="97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1"/>
        <w:gridCol w:w="4950"/>
      </w:tblGrid>
      <w:tr>
        <w:trPr>
          <w:trHeight w:val="329" w:hRule="atLeast"/>
        </w:trPr>
        <w:tc>
          <w:tcPr>
            <w:tcW w:w="4761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left="0" w:right="0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г. Петропавловск-Камчатский</w:t>
            </w:r>
          </w:p>
        </w:tc>
        <w:tc>
          <w:tcPr>
            <w:tcW w:w="4950" w:type="dxa"/>
            <w:tcBorders/>
          </w:tcPr>
          <w:p>
            <w:pPr>
              <w:pStyle w:val="Normal"/>
              <w:widowControl w:val="false"/>
              <w:spacing w:lineRule="auto" w:line="276" w:before="0" w:after="0"/>
              <w:ind w:left="0" w:right="0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 xml:space="preserve">                           </w:t>
            </w: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  <w:t>«___» _____________20__ г.</w:t>
            </w:r>
          </w:p>
          <w:p>
            <w:pPr>
              <w:pStyle w:val="Normal"/>
              <w:widowControl w:val="false"/>
              <w:spacing w:lineRule="auto" w:line="276" w:before="0" w:after="0"/>
              <w:ind w:left="0" w:right="0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pacing w:val="0"/>
                <w:kern w:val="0"/>
                <w:sz w:val="22"/>
                <w:szCs w:val="20"/>
              </w:rPr>
            </w:r>
          </w:p>
        </w:tc>
      </w:tr>
    </w:tbl>
    <w:p>
      <w:pPr>
        <w:pStyle w:val="Style21"/>
        <w:widowControl/>
        <w:ind w:left="0" w:right="0" w:firstLine="567"/>
        <w:jc w:val="both"/>
        <w:rPr>
          <w:b w:val="false"/>
          <w:b w:val="false"/>
          <w:color w:val="000000"/>
          <w:sz w:val="24"/>
        </w:rPr>
      </w:pPr>
      <w:r>
        <w:rPr>
          <w:sz w:val="24"/>
        </w:rPr>
        <w:t xml:space="preserve">Территориальное управление Федерального агентства по управлению государственным имуществом в камчатском крае (ТУ Росимущества в Камчатском крае), </w:t>
      </w:r>
      <w:r>
        <w:rPr>
          <w:b w:val="false"/>
          <w:sz w:val="24"/>
        </w:rPr>
        <w:t xml:space="preserve">именуемое в дальнейшем </w:t>
      </w:r>
      <w:r>
        <w:rPr>
          <w:sz w:val="24"/>
        </w:rPr>
        <w:t>«Продавец»</w:t>
      </w:r>
      <w:r>
        <w:rPr>
          <w:b w:val="false"/>
          <w:sz w:val="24"/>
        </w:rPr>
        <w:t>, в лице ___, действующего на основании Положения, с одной стороны, и</w:t>
      </w:r>
      <w:r>
        <w:rPr>
          <w:sz w:val="24"/>
        </w:rPr>
        <w:t xml:space="preserve"> ____</w:t>
      </w:r>
      <w:r>
        <w:rPr>
          <w:b w:val="false"/>
          <w:sz w:val="24"/>
        </w:rPr>
        <w:t xml:space="preserve">, именуемый в дальнейшем </w:t>
      </w:r>
      <w:r>
        <w:rPr>
          <w:sz w:val="24"/>
        </w:rPr>
        <w:t>«Покупатель»</w:t>
      </w:r>
      <w:r>
        <w:rPr>
          <w:b w:val="false"/>
          <w:color w:val="000000"/>
          <w:sz w:val="24"/>
        </w:rPr>
        <w:t xml:space="preserve">, с другой стороны, а вместе именуемые </w:t>
      </w:r>
      <w:r>
        <w:rPr>
          <w:color w:val="000000"/>
          <w:sz w:val="24"/>
        </w:rPr>
        <w:t>«Стороны»</w:t>
      </w:r>
      <w:r>
        <w:rPr>
          <w:b w:val="false"/>
          <w:color w:val="000000"/>
          <w:sz w:val="24"/>
        </w:rPr>
        <w:t xml:space="preserve">, на основании </w:t>
      </w:r>
      <w:r>
        <w:rPr>
          <w:b w:val="false"/>
          <w:sz w:val="24"/>
        </w:rPr>
        <w:t>Протокола №___ о результатах торгов от _________20__</w:t>
      </w:r>
      <w:r>
        <w:rPr>
          <w:b w:val="false"/>
          <w:color w:val="000000"/>
          <w:sz w:val="24"/>
        </w:rPr>
        <w:t>г., подписали настоящий Договор о нижеследующем.</w:t>
      </w:r>
    </w:p>
    <w:p>
      <w:pPr>
        <w:pStyle w:val="Normal"/>
        <w:widowControl/>
        <w:numPr>
          <w:ilvl w:val="0"/>
          <w:numId w:val="5"/>
        </w:numPr>
        <w:ind w:left="1080" w:right="0" w:hanging="720"/>
        <w:jc w:val="center"/>
        <w:rPr>
          <w:b/>
          <w:b/>
          <w:color w:val="000000"/>
        </w:rPr>
      </w:pPr>
      <w:r>
        <w:rPr>
          <w:b/>
          <w:color w:val="000000"/>
        </w:rPr>
        <w:t>Предмет Договора</w:t>
      </w:r>
    </w:p>
    <w:p>
      <w:pPr>
        <w:pStyle w:val="Normal"/>
        <w:widowControl/>
        <w:ind w:left="1080" w:right="0" w:hanging="0"/>
        <w:jc w:val="center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"/>
        <w:widowControl/>
        <w:ind w:left="0" w:right="0" w:firstLine="567"/>
        <w:jc w:val="both"/>
        <w:rPr/>
      </w:pPr>
      <w:r>
        <w:rPr/>
        <w:t xml:space="preserve">1.1. В соответствии с настоящим Договором Продавец обязуется передать в собственность Покупателю, а Покупатель обязуется принять следующее имущество: _______________________________ </w:t>
      </w:r>
      <w:r>
        <w:rPr>
          <w:color w:val="000000"/>
        </w:rPr>
        <w:t xml:space="preserve">(далее – </w:t>
      </w:r>
      <w:r>
        <w:rPr>
          <w:b/>
          <w:color w:val="000000"/>
        </w:rPr>
        <w:t>Имущество</w:t>
      </w:r>
      <w:r>
        <w:rPr>
          <w:color w:val="000000"/>
        </w:rPr>
        <w:t>).</w:t>
      </w:r>
    </w:p>
    <w:p>
      <w:pPr>
        <w:pStyle w:val="Normal"/>
        <w:widowControl/>
        <w:ind w:left="0" w:right="0" w:firstLine="567"/>
        <w:jc w:val="both"/>
        <w:rPr/>
      </w:pPr>
      <w:r>
        <w:rPr/>
        <w:t xml:space="preserve">1.2. Имущество должника _________ реализовано на аукционе на основании постановления судебного пристава-исполнителя __________ </w:t>
      </w:r>
      <w:r>
        <w:rPr>
          <w:color w:val="000000"/>
        </w:rPr>
        <w:t xml:space="preserve">(далее – </w:t>
      </w:r>
      <w:r>
        <w:rPr>
          <w:b/>
          <w:color w:val="000000"/>
        </w:rPr>
        <w:t>Государственный орган</w:t>
      </w:r>
      <w:r>
        <w:rPr>
          <w:color w:val="000000"/>
        </w:rPr>
        <w:t>) _</w:t>
      </w:r>
      <w:r>
        <w:rPr/>
        <w:t>____ от _________ 20__ г</w:t>
      </w:r>
      <w:r>
        <w:rPr>
          <w:color w:val="000000"/>
        </w:rPr>
        <w:t>.</w:t>
      </w:r>
    </w:p>
    <w:p>
      <w:pPr>
        <w:pStyle w:val="Normal"/>
        <w:widowControl/>
        <w:tabs>
          <w:tab w:val="clear" w:pos="708"/>
          <w:tab w:val="left" w:pos="567" w:leader="none"/>
        </w:tabs>
        <w:jc w:val="both"/>
        <w:rPr/>
      </w:pPr>
      <w:r>
        <w:rPr/>
        <w:tab/>
        <w:t xml:space="preserve">1.3. Покупатель поставлен в известность о том, что Актом о наложении ареста (описи имущества) от _________20__г., вынесенным судебным приставом-исполнителем __________ </w:t>
      </w:r>
      <w:r>
        <w:rPr>
          <w:color w:val="000000"/>
        </w:rPr>
        <w:t xml:space="preserve">(далее – </w:t>
      </w:r>
      <w:r>
        <w:rPr>
          <w:b/>
          <w:color w:val="000000"/>
        </w:rPr>
        <w:t>Государственный орган</w:t>
      </w:r>
      <w:r>
        <w:rPr>
          <w:color w:val="000000"/>
        </w:rPr>
        <w:t>) _</w:t>
      </w:r>
      <w:r>
        <w:rPr/>
        <w:t>____ от _________ 20__ г</w:t>
      </w:r>
      <w:r>
        <w:rPr>
          <w:color w:val="000000"/>
        </w:rPr>
        <w:t xml:space="preserve">., </w:t>
      </w:r>
      <w:r>
        <w:rPr/>
        <w:t>на Имущество наложен арест.</w:t>
      </w:r>
    </w:p>
    <w:p>
      <w:pPr>
        <w:pStyle w:val="Normal"/>
        <w:widowControl/>
        <w:tabs>
          <w:tab w:val="clear" w:pos="708"/>
          <w:tab w:val="left" w:pos="567" w:leader="none"/>
        </w:tabs>
        <w:jc w:val="both"/>
        <w:rPr/>
      </w:pPr>
      <w:r>
        <w:rPr/>
        <w:tab/>
      </w:r>
    </w:p>
    <w:p>
      <w:pPr>
        <w:pStyle w:val="Normal"/>
        <w:widowControl/>
        <w:numPr>
          <w:ilvl w:val="0"/>
          <w:numId w:val="5"/>
        </w:numPr>
        <w:ind w:left="1080" w:right="0" w:hanging="720"/>
        <w:jc w:val="center"/>
        <w:rPr>
          <w:b/>
          <w:b/>
          <w:color w:val="000000"/>
        </w:rPr>
      </w:pPr>
      <w:r>
        <w:rPr>
          <w:b/>
          <w:color w:val="000000"/>
        </w:rPr>
        <w:t>Цена Договора и условия расчетов</w:t>
      </w:r>
    </w:p>
    <w:p>
      <w:pPr>
        <w:pStyle w:val="Normal"/>
        <w:widowControl/>
        <w:ind w:left="1080" w:right="0" w:hanging="0"/>
        <w:jc w:val="center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"/>
        <w:widowControl/>
        <w:tabs>
          <w:tab w:val="clear" w:pos="708"/>
          <w:tab w:val="left" w:pos="540" w:leader="none"/>
        </w:tabs>
        <w:jc w:val="both"/>
        <w:rPr/>
      </w:pPr>
      <w:r>
        <w:rPr/>
        <w:tab/>
        <w:t>2.1. Стоимость Имущества, установленная по результатам аукциона, составляет_____</w:t>
      </w:r>
    </w:p>
    <w:p>
      <w:pPr>
        <w:pStyle w:val="Normal"/>
        <w:widowControl/>
        <w:tabs>
          <w:tab w:val="clear" w:pos="708"/>
          <w:tab w:val="left" w:pos="540" w:leader="none"/>
        </w:tabs>
        <w:jc w:val="both"/>
        <w:rPr/>
      </w:pPr>
      <w:r>
        <w:rPr/>
        <w:tab/>
        <w:t>2.2. Сумма, указанная в п. 2.1. настоящего Договора перечислена Покупателем в полном объеме и поступила на счет ТУ Росимущества в Камчатском крае в установленные сроки.</w:t>
      </w:r>
    </w:p>
    <w:p>
      <w:pPr>
        <w:pStyle w:val="Normal"/>
        <w:widowControl/>
        <w:tabs>
          <w:tab w:val="clear" w:pos="708"/>
          <w:tab w:val="left" w:pos="540" w:leader="none"/>
        </w:tabs>
        <w:jc w:val="both"/>
        <w:rPr>
          <w:b/>
          <w:b/>
          <w:color w:val="000000"/>
        </w:rPr>
      </w:pPr>
      <w:r>
        <w:rPr>
          <w:b/>
          <w:color w:val="000000"/>
        </w:rPr>
      </w:r>
    </w:p>
    <w:p>
      <w:pPr>
        <w:pStyle w:val="Normal"/>
        <w:widowControl/>
        <w:numPr>
          <w:ilvl w:val="0"/>
          <w:numId w:val="5"/>
        </w:numPr>
        <w:ind w:left="1080" w:right="0" w:hanging="720"/>
        <w:jc w:val="center"/>
        <w:rPr>
          <w:b/>
          <w:b/>
        </w:rPr>
      </w:pPr>
      <w:r>
        <w:rPr>
          <w:b/>
        </w:rPr>
        <w:t>Передача Имущества и переход права собственности</w:t>
      </w:r>
    </w:p>
    <w:p>
      <w:pPr>
        <w:pStyle w:val="Normal"/>
        <w:widowControl/>
        <w:ind w:left="108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widowControl/>
        <w:ind w:left="0" w:right="0" w:firstLine="708"/>
        <w:jc w:val="both"/>
        <w:rPr/>
      </w:pPr>
      <w:r>
        <w:rPr/>
        <w:t>3.1. Имущество передано Покупателю на основании Протокола об определении победителя аукциона, Протокола о результатах аукциона.</w:t>
      </w:r>
    </w:p>
    <w:p>
      <w:pPr>
        <w:pStyle w:val="Normal"/>
        <w:widowControl/>
        <w:jc w:val="both"/>
        <w:rPr/>
      </w:pPr>
      <w:r>
        <w:rPr/>
        <w:tab/>
        <w:t>3.2. Имущество считается переданным в собственность Покупателя с момента оформления акта приема-передачи.</w:t>
      </w:r>
    </w:p>
    <w:p>
      <w:pPr>
        <w:pStyle w:val="Normal"/>
        <w:widowControl/>
        <w:jc w:val="both"/>
        <w:rPr/>
      </w:pPr>
      <w:r>
        <w:rPr/>
        <w:tab/>
        <w:t>3.3. Принятое покупателем Имущество возврату не подлежит. Продавец не несет ответственность за качество проданного имущества.</w:t>
      </w:r>
    </w:p>
    <w:p>
      <w:pPr>
        <w:pStyle w:val="Normal"/>
        <w:widowControl/>
        <w:jc w:val="both"/>
        <w:rPr/>
      </w:pPr>
      <w:r>
        <w:rPr/>
        <w:tab/>
        <w:t>3.4. Покупатель самостоятельно осуществляет снятие арестов, запретов на совершение регистрационных действий иных обременений имущества, обратившись к судебному приставу-исполнителю, передавшему имущество для реализации.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numPr>
          <w:ilvl w:val="0"/>
          <w:numId w:val="5"/>
        </w:numPr>
        <w:ind w:left="1080" w:right="0" w:hanging="720"/>
        <w:jc w:val="center"/>
        <w:rPr>
          <w:b/>
          <w:b/>
        </w:rPr>
      </w:pPr>
      <w:r>
        <w:rPr>
          <w:b/>
        </w:rPr>
        <w:t>Ответственность сторон</w:t>
      </w:r>
    </w:p>
    <w:p>
      <w:pPr>
        <w:pStyle w:val="Normal"/>
        <w:widowControl/>
        <w:ind w:left="108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widowControl/>
        <w:ind w:left="0" w:right="0" w:firstLine="360"/>
        <w:jc w:val="both"/>
        <w:rPr/>
      </w:pPr>
      <w:r>
        <w:rPr/>
        <w:tab/>
        <w:t>4.1. В случае невыполнения или ненадлежащего выполнения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>
      <w:pPr>
        <w:pStyle w:val="Normal"/>
        <w:widowControl/>
        <w:ind w:left="0" w:right="0" w:firstLine="360"/>
        <w:jc w:val="both"/>
        <w:rPr/>
      </w:pPr>
      <w:r>
        <w:rPr/>
      </w:r>
    </w:p>
    <w:p>
      <w:pPr>
        <w:pStyle w:val="Normal"/>
        <w:widowControl/>
        <w:ind w:left="0" w:right="0" w:firstLine="360"/>
        <w:jc w:val="both"/>
        <w:rPr/>
      </w:pPr>
      <w:r>
        <w:rPr/>
      </w:r>
    </w:p>
    <w:p>
      <w:pPr>
        <w:pStyle w:val="Normal"/>
        <w:widowControl/>
        <w:ind w:left="0" w:right="0" w:firstLine="360"/>
        <w:jc w:val="both"/>
        <w:rPr/>
      </w:pPr>
      <w:r>
        <w:rPr/>
      </w:r>
    </w:p>
    <w:p>
      <w:pPr>
        <w:pStyle w:val="Normal"/>
        <w:widowControl/>
        <w:numPr>
          <w:ilvl w:val="0"/>
          <w:numId w:val="5"/>
        </w:numPr>
        <w:ind w:left="1080" w:right="0" w:hanging="720"/>
        <w:jc w:val="center"/>
        <w:rPr>
          <w:b/>
          <w:b/>
        </w:rPr>
      </w:pPr>
      <w:r>
        <w:rPr>
          <w:b/>
        </w:rPr>
        <w:t>Прочие условия</w:t>
      </w:r>
    </w:p>
    <w:p>
      <w:pPr>
        <w:pStyle w:val="Normal"/>
        <w:widowControl/>
        <w:ind w:left="108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widowControl/>
        <w:ind w:left="0" w:right="0" w:firstLine="567"/>
        <w:jc w:val="both"/>
        <w:rPr/>
      </w:pPr>
      <w:r>
        <w:rPr/>
        <w:t xml:space="preserve">5.1. (Если Автомобиль) Покупатель обязуется в течении одного месяца предоставить в уполномоченный орган документы необходимые для постановки на учет данного автомобиля. </w:t>
      </w:r>
    </w:p>
    <w:p>
      <w:pPr>
        <w:pStyle w:val="Normal"/>
        <w:widowControl/>
        <w:ind w:left="0" w:right="0" w:firstLine="567"/>
        <w:jc w:val="both"/>
        <w:rPr/>
      </w:pPr>
      <w:r>
        <w:rPr/>
        <w:t>5.1. (Если Недвижимость) Переход права собственности на Имущество подлежит государственной регистрации в соответствии со ст. 551 Гражданского кодекса Российской Федерации.</w:t>
      </w:r>
    </w:p>
    <w:p>
      <w:pPr>
        <w:pStyle w:val="Normal"/>
        <w:widowControl/>
        <w:ind w:left="0" w:right="0" w:firstLine="567"/>
        <w:jc w:val="both"/>
        <w:rPr/>
      </w:pPr>
      <w:r>
        <w:rPr/>
        <w:t>5.2. Расходы по государственной регистрации перехода права собственности на Имущество уплачиваются Покупателем и возмещению не подлежат.</w:t>
      </w:r>
    </w:p>
    <w:p>
      <w:pPr>
        <w:pStyle w:val="Normal"/>
        <w:widowControl/>
        <w:ind w:left="0" w:right="0" w:firstLine="567"/>
        <w:jc w:val="both"/>
        <w:rPr/>
      </w:pPr>
      <w:r>
        <w:rPr/>
        <w:t>5.3. Любые изменения и дополнения к настоящему Договору, действительны только в том случае, если они совершены в письменной форме и подписаны надлежаще уполномоченными на то представителями Сторон.</w:t>
      </w:r>
    </w:p>
    <w:p>
      <w:pPr>
        <w:pStyle w:val="Normal"/>
        <w:widowControl/>
        <w:ind w:left="0" w:right="0" w:firstLine="567"/>
        <w:jc w:val="both"/>
        <w:rPr/>
      </w:pPr>
      <w:r>
        <w:rPr/>
        <w:t>5.4. Все уведомления и сообщения должны направляться Сторонами друг другу в письменной форме.</w:t>
      </w:r>
    </w:p>
    <w:p>
      <w:pPr>
        <w:pStyle w:val="Normal"/>
        <w:widowControl/>
        <w:ind w:left="0" w:right="0" w:firstLine="567"/>
        <w:jc w:val="both"/>
        <w:rPr/>
      </w:pPr>
      <w:r>
        <w:rPr/>
        <w:t>5.5. Все споры и разногласия, возникающие между Сторонами, будут разрешаться путем переговоров. При не урегулировании в процессе переговоров спорных вопросов, споры разрешаются в порядке, установленном законодательством Российской Федерации.</w:t>
      </w:r>
    </w:p>
    <w:p>
      <w:pPr>
        <w:pStyle w:val="Normal"/>
        <w:widowControl/>
        <w:tabs>
          <w:tab w:val="clear" w:pos="708"/>
          <w:tab w:val="left" w:pos="567" w:leader="none"/>
        </w:tabs>
        <w:jc w:val="both"/>
        <w:rPr/>
      </w:pPr>
      <w:r>
        <w:rPr/>
      </w:r>
    </w:p>
    <w:p>
      <w:pPr>
        <w:pStyle w:val="Normal"/>
        <w:widowControl/>
        <w:numPr>
          <w:ilvl w:val="0"/>
          <w:numId w:val="5"/>
        </w:numPr>
        <w:ind w:left="1080" w:right="0" w:hanging="720"/>
        <w:jc w:val="center"/>
        <w:rPr>
          <w:b/>
          <w:b/>
        </w:rPr>
      </w:pPr>
      <w:r>
        <w:rPr>
          <w:b/>
        </w:rPr>
        <w:t>Заключительные положения</w:t>
      </w:r>
    </w:p>
    <w:p>
      <w:pPr>
        <w:pStyle w:val="Normal"/>
        <w:widowControl/>
        <w:ind w:left="1080" w:right="0"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widowControl/>
        <w:tabs>
          <w:tab w:val="clear" w:pos="708"/>
          <w:tab w:val="left" w:pos="567" w:leader="none"/>
        </w:tabs>
        <w:jc w:val="both"/>
        <w:rPr/>
      </w:pPr>
      <w:r>
        <w:rPr/>
        <w:tab/>
        <w:t>6.1. Настоящий Договор составлен в трех экземплярах, имеющих одинаковую юридическую силу, два экземпляра Покупателю, один экземпляр Продавца.</w:t>
      </w:r>
    </w:p>
    <w:p>
      <w:pPr>
        <w:pStyle w:val="Normal"/>
        <w:widowControl/>
        <w:tabs>
          <w:tab w:val="clear" w:pos="708"/>
          <w:tab w:val="left" w:pos="567" w:leader="none"/>
        </w:tabs>
        <w:jc w:val="both"/>
        <w:rPr/>
      </w:pPr>
      <w:r>
        <w:rPr/>
      </w:r>
    </w:p>
    <w:p>
      <w:pPr>
        <w:pStyle w:val="Normal"/>
        <w:widowControl/>
        <w:numPr>
          <w:ilvl w:val="0"/>
          <w:numId w:val="5"/>
        </w:numPr>
        <w:ind w:left="1080" w:right="0" w:hanging="720"/>
        <w:jc w:val="center"/>
        <w:rPr>
          <w:b/>
          <w:b/>
        </w:rPr>
      </w:pPr>
      <w:r>
        <w:rPr>
          <w:b/>
        </w:rPr>
        <w:t>Юридические адреса и реквизиты Сторон</w:t>
      </w:r>
    </w:p>
    <w:p>
      <w:pPr>
        <w:pStyle w:val="Normal"/>
        <w:widowControl w:val="false"/>
        <w:tabs>
          <w:tab w:val="clear" w:pos="708"/>
          <w:tab w:val="left" w:pos="567" w:leader="none"/>
        </w:tabs>
        <w:spacing w:before="0" w:after="0"/>
        <w:contextualSpacing/>
        <w:jc w:val="right"/>
        <w:rPr>
          <w:rFonts w:ascii="Times New Roman CYR" w:hAnsi="Times New Roman CYR"/>
          <w:sz w:val="20"/>
        </w:rPr>
      </w:pPr>
      <w:r>
        <w:rPr/>
      </w:r>
    </w:p>
    <w:sectPr>
      <w:type w:val="nextPage"/>
      <w:pgSz w:w="11906" w:h="16838"/>
      <w:pgMar w:left="1276" w:right="1134" w:gutter="0" w:header="0" w:top="851" w:footer="0" w:bottom="82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 CYR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  <w:rPr>
        <w:b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b/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b/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b/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b/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b/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b/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b/>
        <w:rFonts w:ascii="Times New Roman" w:hAnsi="Times New Roman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-"/>
      <w:lvlJc w:val="left"/>
      <w:pPr>
        <w:tabs>
          <w:tab w:val="num" w:pos="0"/>
        </w:tabs>
        <w:ind w:left="2880" w:hanging="360"/>
      </w:pPr>
      <w:rPr>
        <w:rFonts w:ascii="Calibri" w:hAnsi="Calibri" w:cs="Calibri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-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Droid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ahoma" w:cs="Droid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1">
    <w:name w:val="Heading 1"/>
    <w:next w:val="Normal"/>
    <w:uiPriority w:val="9"/>
    <w:qFormat/>
    <w:pPr>
      <w:widowControl/>
      <w:bidi w:val="0"/>
      <w:spacing w:lineRule="auto" w:line="276" w:before="120" w:after="120"/>
      <w:ind w:left="0" w:right="0" w:hanging="0"/>
      <w:jc w:val="both"/>
      <w:outlineLvl w:val="0"/>
    </w:pPr>
    <w:rPr>
      <w:rFonts w:ascii="XO Thames" w:hAnsi="XO Thames" w:eastAsia="Tahoma" w:cs="Droid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2">
    <w:name w:val="Heading 2"/>
    <w:next w:val="Normal"/>
    <w:uiPriority w:val="9"/>
    <w:qFormat/>
    <w:pPr>
      <w:widowControl/>
      <w:bidi w:val="0"/>
      <w:spacing w:lineRule="auto" w:line="276" w:before="120" w:after="120"/>
      <w:ind w:left="0" w:right="0" w:hanging="0"/>
      <w:jc w:val="both"/>
      <w:outlineLvl w:val="1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3">
    <w:name w:val="Heading 3"/>
    <w:next w:val="Normal"/>
    <w:uiPriority w:val="9"/>
    <w:qFormat/>
    <w:pPr>
      <w:widowControl/>
      <w:bidi w:val="0"/>
      <w:spacing w:lineRule="auto" w:line="276" w:before="120" w:after="120"/>
      <w:ind w:left="0" w:right="0" w:hanging="0"/>
      <w:jc w:val="both"/>
      <w:outlineLvl w:val="2"/>
    </w:pPr>
    <w:rPr>
      <w:rFonts w:ascii="XO Thames" w:hAnsi="XO Thames" w:eastAsia="Tahoma" w:cs="Droid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4">
    <w:name w:val="Heading 4"/>
    <w:next w:val="Normal"/>
    <w:uiPriority w:val="9"/>
    <w:qFormat/>
    <w:pPr>
      <w:widowControl/>
      <w:bidi w:val="0"/>
      <w:spacing w:lineRule="auto" w:line="276" w:before="120" w:after="120"/>
      <w:ind w:left="0" w:right="0" w:hanging="0"/>
      <w:jc w:val="both"/>
      <w:outlineLvl w:val="3"/>
    </w:pPr>
    <w:rPr>
      <w:rFonts w:ascii="XO Thames" w:hAnsi="XO Thames" w:eastAsia="Tahoma" w:cs="Droid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5">
    <w:name w:val="Heading 5"/>
    <w:next w:val="Normal"/>
    <w:uiPriority w:val="9"/>
    <w:qFormat/>
    <w:pPr>
      <w:widowControl/>
      <w:bidi w:val="0"/>
      <w:spacing w:lineRule="auto" w:line="276" w:before="120" w:after="120"/>
      <w:ind w:left="0" w:right="0" w:hanging="0"/>
      <w:jc w:val="both"/>
      <w:outlineLvl w:val="4"/>
    </w:pPr>
    <w:rPr>
      <w:rFonts w:ascii="XO Thames" w:hAnsi="XO Thames" w:eastAsia="Tahoma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styleId="Header">
    <w:name w:val="Header"/>
    <w:qFormat/>
    <w:rPr/>
  </w:style>
  <w:style w:type="character" w:styleId="ConsNormal">
    <w:name w:val="ConsNormal"/>
    <w:link w:val="ConsNormal1"/>
    <w:qFormat/>
    <w:rPr>
      <w:rFonts w:ascii="Arial" w:hAnsi="Arial"/>
      <w:sz w:val="20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">
    <w:name w:val="Heading 3"/>
    <w:qFormat/>
    <w:rPr>
      <w:rFonts w:ascii="XO Thames" w:hAnsi="XO Thames"/>
      <w:b/>
      <w:sz w:val="26"/>
    </w:rPr>
  </w:style>
  <w:style w:type="character" w:styleId="PlainText">
    <w:name w:val="Plain Text"/>
    <w:link w:val="PlainText1"/>
    <w:qFormat/>
    <w:rPr>
      <w:rFonts w:ascii="Courier New" w:hAnsi="Courier New"/>
      <w:sz w:val="20"/>
    </w:rPr>
  </w:style>
  <w:style w:type="character" w:styleId="Textbodyindent">
    <w:name w:val="Text body indent"/>
    <w:qFormat/>
    <w:rPr/>
  </w:style>
  <w:style w:type="character" w:styleId="DefaultParagraphFont">
    <w:name w:val="Default Paragraph Font"/>
    <w:link w:val="DefaultParagraphFont1"/>
    <w:qFormat/>
    <w:rPr/>
  </w:style>
  <w:style w:type="character" w:styleId="Style9">
    <w:name w:val="Выделение"/>
    <w:qFormat/>
    <w:rPr>
      <w:i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Western">
    <w:name w:val="western"/>
    <w:link w:val="Western1"/>
    <w:qFormat/>
    <w:rPr>
      <w:color w:val="000000"/>
    </w:rPr>
  </w:style>
  <w:style w:type="character" w:styleId="ConsPlusNormal">
    <w:name w:val="ConsPlusNormal"/>
    <w:link w:val="ConsPlusNormal1"/>
    <w:qFormat/>
    <w:rPr>
      <w:rFonts w:ascii="Arial" w:hAnsi="Arial"/>
      <w:sz w:val="20"/>
    </w:rPr>
  </w:style>
  <w:style w:type="character" w:styleId="Heading5">
    <w:name w:val="Heading 5"/>
    <w:qFormat/>
    <w:rPr>
      <w:rFonts w:ascii="XO Thames" w:hAnsi="XO Thames"/>
      <w:b/>
      <w:sz w:val="22"/>
    </w:rPr>
  </w:style>
  <w:style w:type="character" w:styleId="Heading1">
    <w:name w:val="Heading 1"/>
    <w:qFormat/>
    <w:rPr>
      <w:rFonts w:ascii="XO Thames" w:hAnsi="XO Thames"/>
      <w:b/>
      <w:sz w:val="32"/>
    </w:rPr>
  </w:style>
  <w:style w:type="character" w:styleId="Style10">
    <w:name w:val="Интернет-ссылка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BodyTextIndent3">
    <w:name w:val="Body Text Indent 3"/>
    <w:link w:val="BodyTextIndent31"/>
    <w:qFormat/>
    <w:rPr>
      <w:sz w:val="16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Footer">
    <w:name w:val="Footer"/>
    <w:qFormat/>
    <w:rPr/>
  </w:style>
  <w:style w:type="character" w:styleId="ListParagraph">
    <w:name w:val="List Paragraph"/>
    <w:link w:val="ListParagraph1"/>
    <w:qFormat/>
    <w:rPr>
      <w:rFonts w:ascii="Calibri" w:hAnsi="Calibri"/>
      <w:sz w:val="22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trong">
    <w:name w:val="Strong"/>
    <w:link w:val="Strong1"/>
    <w:qFormat/>
    <w:rPr>
      <w:b/>
    </w:rPr>
  </w:style>
  <w:style w:type="character" w:styleId="Subtitle">
    <w:name w:val="Subtitle"/>
    <w:qFormat/>
    <w:rPr>
      <w:rFonts w:ascii="XO Thames" w:hAnsi="XO Thames"/>
      <w:i/>
      <w:sz w:val="24"/>
    </w:rPr>
  </w:style>
  <w:style w:type="character" w:styleId="BodyTextIndent2">
    <w:name w:val="Body Text Indent 2"/>
    <w:link w:val="BodyTextIndent21"/>
    <w:qFormat/>
    <w:rPr/>
  </w:style>
  <w:style w:type="character" w:styleId="Title">
    <w:name w:val="Title"/>
    <w:qFormat/>
    <w:rPr>
      <w:b/>
      <w:sz w:val="28"/>
    </w:rPr>
  </w:style>
  <w:style w:type="character" w:styleId="Heading4">
    <w:name w:val="Heading 4"/>
    <w:qFormat/>
    <w:rPr>
      <w:rFonts w:ascii="XO Thames" w:hAnsi="XO Thames"/>
      <w:b/>
      <w:sz w:val="24"/>
    </w:rPr>
  </w:style>
  <w:style w:type="character" w:styleId="BodyText2">
    <w:name w:val="Body Text 2"/>
    <w:link w:val="BodyText21"/>
    <w:qFormat/>
    <w:rPr/>
  </w:style>
  <w:style w:type="character" w:styleId="Heading2">
    <w:name w:val="Heading 2"/>
    <w:qFormat/>
    <w:rPr>
      <w:rFonts w:ascii="XO Thames" w:hAnsi="XO Thames"/>
      <w:b/>
      <w:sz w:val="28"/>
    </w:rPr>
  </w:style>
  <w:style w:type="character" w:styleId="Textbody">
    <w:name w:val="Text body"/>
    <w:qFormat/>
    <w:rPr>
      <w:b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Tahoma" w:cs="Droid Sans Devanagari"/>
      <w:sz w:val="28"/>
      <w:szCs w:val="28"/>
    </w:rPr>
  </w:style>
  <w:style w:type="paragraph" w:styleId="Style12">
    <w:name w:val="Body Text"/>
    <w:basedOn w:val="Normal"/>
    <w:pPr>
      <w:widowControl/>
      <w:jc w:val="center"/>
    </w:pPr>
    <w:rPr>
      <w:b/>
    </w:rPr>
  </w:style>
  <w:style w:type="paragraph" w:styleId="Style13">
    <w:name w:val="List"/>
    <w:basedOn w:val="Style12"/>
    <w:pPr/>
    <w:rPr>
      <w:rFonts w:cs="Droid Sans Devanagari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paragraph" w:styleId="21">
    <w:name w:val="TOC 2"/>
    <w:next w:val="Normal"/>
    <w:uiPriority w:val="39"/>
    <w:pPr>
      <w:widowControl/>
      <w:bidi w:val="0"/>
      <w:spacing w:lineRule="auto" w:line="276" w:before="0" w:after="200"/>
      <w:ind w:left="2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41">
    <w:name w:val="TOC 4"/>
    <w:next w:val="Normal"/>
    <w:uiPriority w:val="39"/>
    <w:pPr>
      <w:widowControl/>
      <w:bidi w:val="0"/>
      <w:spacing w:lineRule="auto" w:line="276" w:before="0" w:after="200"/>
      <w:ind w:left="6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6">
    <w:name w:val="TOC 6"/>
    <w:next w:val="Normal"/>
    <w:uiPriority w:val="39"/>
    <w:pPr>
      <w:widowControl/>
      <w:bidi w:val="0"/>
      <w:spacing w:lineRule="auto" w:line="276" w:before="0" w:after="200"/>
      <w:ind w:left="10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7">
    <w:name w:val="TOC 7"/>
    <w:next w:val="Normal"/>
    <w:uiPriority w:val="39"/>
    <w:pPr>
      <w:widowControl/>
      <w:bidi w:val="0"/>
      <w:spacing w:lineRule="auto" w:line="276" w:before="0" w:after="200"/>
      <w:ind w:left="12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Nonformat1">
    <w:name w:val="ConsPlusNonformat"/>
    <w:link w:val="ConsPlusNonformat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Courier New" w:hAnsi="Courier New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Style16">
    <w:name w:val="Колонтитул"/>
    <w:qFormat/>
    <w:pPr>
      <w:widowControl/>
      <w:bidi w:val="0"/>
      <w:spacing w:lineRule="auto" w:line="240" w:before="0" w:after="200"/>
      <w:ind w:left="0" w:right="0" w:hanging="0"/>
      <w:jc w:val="both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7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Normal1">
    <w:name w:val="ConsNormal"/>
    <w:link w:val="ConsNormal"/>
    <w:qFormat/>
    <w:pPr>
      <w:widowControl w:val="false"/>
      <w:bidi w:val="0"/>
      <w:spacing w:lineRule="auto" w:line="240" w:before="0" w:after="0"/>
      <w:ind w:left="0" w:right="0" w:firstLine="720"/>
      <w:jc w:val="left"/>
    </w:pPr>
    <w:rPr>
      <w:rFonts w:ascii="Arial" w:hAnsi="Arial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"/>
    <w:link w:val="Endnote"/>
    <w:qFormat/>
    <w:pPr>
      <w:widowControl/>
      <w:bidi w:val="0"/>
      <w:spacing w:lineRule="auto" w:line="276" w:before="0" w:after="200"/>
      <w:ind w:left="0" w:right="0" w:firstLine="851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PlainText1">
    <w:name w:val="Plain Text"/>
    <w:basedOn w:val="Normal"/>
    <w:link w:val="PlainText"/>
    <w:qFormat/>
    <w:pPr/>
    <w:rPr>
      <w:rFonts w:ascii="Courier New" w:hAnsi="Courier New"/>
      <w:sz w:val="20"/>
    </w:rPr>
  </w:style>
  <w:style w:type="paragraph" w:styleId="Style18">
    <w:name w:val="Body Text Indent"/>
    <w:basedOn w:val="Normal"/>
    <w:pPr>
      <w:widowControl/>
      <w:ind w:left="0" w:right="0" w:firstLine="567"/>
      <w:jc w:val="both"/>
    </w:pPr>
    <w:rPr/>
  </w:style>
  <w:style w:type="paragraph" w:styleId="DefaultParagraphFont1">
    <w:name w:val="Default Paragraph Font"/>
    <w:link w:val="DefaultParagraphFont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eastAsia="Tahoma" w:cs="Droid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Emphasis">
    <w:name w:val="Emphasis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eastAsia="Tahoma" w:cs="Droid Sans Devanagari" w:asciiTheme="minorAscii" w:hAnsiTheme="minorHAnsi"/>
      <w:i/>
      <w:color w:val="000000"/>
      <w:spacing w:val="0"/>
      <w:kern w:val="0"/>
      <w:sz w:val="22"/>
      <w:szCs w:val="20"/>
      <w:lang w:val="ru-RU" w:eastAsia="zh-CN" w:bidi="hi-IN"/>
    </w:rPr>
  </w:style>
  <w:style w:type="paragraph" w:styleId="31">
    <w:name w:val="TOC 3"/>
    <w:next w:val="Normal"/>
    <w:uiPriority w:val="39"/>
    <w:pPr>
      <w:widowControl/>
      <w:bidi w:val="0"/>
      <w:spacing w:lineRule="auto" w:line="276" w:before="0" w:after="200"/>
      <w:ind w:left="4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Western1">
    <w:name w:val="western"/>
    <w:basedOn w:val="Normal"/>
    <w:link w:val="Western"/>
    <w:qFormat/>
    <w:pPr>
      <w:widowControl/>
      <w:spacing w:beforeAutospacing="1" w:after="115"/>
    </w:pPr>
    <w:rPr>
      <w:color w:val="000000"/>
    </w:rPr>
  </w:style>
  <w:style w:type="paragraph" w:styleId="ConsPlusNormal1">
    <w:name w:val="ConsPlusNormal"/>
    <w:link w:val="ConsPlusNormal"/>
    <w:qFormat/>
    <w:pPr>
      <w:widowControl w:val="false"/>
      <w:bidi w:val="0"/>
      <w:spacing w:lineRule="auto" w:line="240" w:before="0" w:after="0"/>
      <w:ind w:left="0" w:right="0" w:firstLine="720"/>
      <w:jc w:val="left"/>
    </w:pPr>
    <w:rPr>
      <w:rFonts w:ascii="Arial" w:hAnsi="Arial" w:eastAsia="Tahoma" w:cs="Droid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Internetlink">
    <w:name w:val="Hyperlink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eastAsia="Tahoma" w:cs="Droid Sans Devanagari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"/>
    <w:link w:val="Footnote"/>
    <w:qFormat/>
    <w:pPr>
      <w:widowControl/>
      <w:bidi w:val="0"/>
      <w:spacing w:lineRule="auto" w:line="276" w:before="0" w:after="200"/>
      <w:ind w:left="0" w:right="0" w:firstLine="851"/>
      <w:jc w:val="both"/>
    </w:pPr>
    <w:rPr>
      <w:rFonts w:ascii="XO Thames" w:hAnsi="XO Thames" w:eastAsia="Tahoma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11">
    <w:name w:val="TOC 1"/>
    <w:next w:val="Normal"/>
    <w:uiPriority w:val="39"/>
    <w:pPr>
      <w:widowControl/>
      <w:bidi w:val="0"/>
      <w:spacing w:lineRule="auto" w:line="276" w:before="0" w:after="200"/>
      <w:ind w:left="0" w:right="0" w:hanging="0"/>
      <w:jc w:val="left"/>
    </w:pPr>
    <w:rPr>
      <w:rFonts w:ascii="XO Thames" w:hAnsi="XO Thames" w:eastAsia="Tahoma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9">
    <w:name w:val="TOC 9"/>
    <w:next w:val="Normal"/>
    <w:uiPriority w:val="39"/>
    <w:pPr>
      <w:widowControl/>
      <w:bidi w:val="0"/>
      <w:spacing w:lineRule="auto" w:line="276" w:before="0" w:after="200"/>
      <w:ind w:left="16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">
    <w:name w:val="Balloon Text"/>
    <w:basedOn w:val="Normal"/>
    <w:link w:val="BalloonText"/>
    <w:qFormat/>
    <w:pPr/>
    <w:rPr>
      <w:rFonts w:ascii="Tahoma" w:hAnsi="Tahoma"/>
      <w:sz w:val="16"/>
    </w:rPr>
  </w:style>
  <w:style w:type="paragraph" w:styleId="BodyTextIndent31">
    <w:name w:val="Body Text Indent 3"/>
    <w:basedOn w:val="Normal"/>
    <w:link w:val="BodyTextIndent3"/>
    <w:qFormat/>
    <w:pPr>
      <w:widowControl/>
      <w:spacing w:before="0" w:after="120"/>
      <w:ind w:left="283" w:right="0" w:hanging="0"/>
    </w:pPr>
    <w:rPr>
      <w:sz w:val="16"/>
    </w:rPr>
  </w:style>
  <w:style w:type="paragraph" w:styleId="8">
    <w:name w:val="TOC 8"/>
    <w:next w:val="Normal"/>
    <w:uiPriority w:val="39"/>
    <w:pPr>
      <w:widowControl/>
      <w:bidi w:val="0"/>
      <w:spacing w:lineRule="auto" w:line="276" w:before="0" w:after="200"/>
      <w:ind w:left="14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yle19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Paragraph1">
    <w:name w:val="List Paragraph"/>
    <w:basedOn w:val="Normal"/>
    <w:link w:val="ListParagraph"/>
    <w:qFormat/>
    <w:pPr>
      <w:widowControl/>
      <w:spacing w:lineRule="auto" w:line="276" w:before="0" w:after="200"/>
      <w:ind w:left="720" w:right="0" w:hanging="0"/>
      <w:contextualSpacing/>
    </w:pPr>
    <w:rPr>
      <w:rFonts w:ascii="Calibri" w:hAnsi="Calibri"/>
      <w:sz w:val="22"/>
    </w:rPr>
  </w:style>
  <w:style w:type="paragraph" w:styleId="51">
    <w:name w:val="TOC 5"/>
    <w:next w:val="Normal"/>
    <w:uiPriority w:val="39"/>
    <w:pPr>
      <w:widowControl/>
      <w:bidi w:val="0"/>
      <w:spacing w:lineRule="auto" w:line="276" w:before="0" w:after="200"/>
      <w:ind w:left="800" w:right="0" w:hanging="0"/>
      <w:jc w:val="left"/>
    </w:pPr>
    <w:rPr>
      <w:rFonts w:ascii="XO Thames" w:hAnsi="XO Thames" w:eastAsia="Tahoma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trong1">
    <w:name w:val="Strong"/>
    <w:link w:val="Strong"/>
    <w:qFormat/>
    <w:pPr>
      <w:widowControl/>
      <w:bidi w:val="0"/>
      <w:spacing w:lineRule="auto" w:line="276" w:before="0" w:after="200"/>
      <w:ind w:left="0" w:right="0" w:hanging="0"/>
      <w:jc w:val="left"/>
    </w:pPr>
    <w:rPr>
      <w:rFonts w:ascii="Calibri" w:hAnsi="Calibri" w:eastAsia="Tahoma" w:cs="Droid Sans Devanagari" w:asciiTheme="minorAscii" w:hAnsiTheme="minorHAns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Style20">
    <w:name w:val="Subtitle"/>
    <w:next w:val="Normal"/>
    <w:uiPriority w:val="11"/>
    <w:qFormat/>
    <w:pPr>
      <w:widowControl/>
      <w:bidi w:val="0"/>
      <w:spacing w:lineRule="auto" w:line="276" w:before="0" w:after="200"/>
      <w:ind w:left="0" w:right="0" w:hanging="0"/>
      <w:jc w:val="both"/>
    </w:pPr>
    <w:rPr>
      <w:rFonts w:ascii="XO Thames" w:hAnsi="XO Thames" w:eastAsia="Tahoma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BodyTextIndent21">
    <w:name w:val="Body Text Indent 2"/>
    <w:basedOn w:val="Normal"/>
    <w:link w:val="BodyTextIndent2"/>
    <w:qFormat/>
    <w:pPr>
      <w:widowControl/>
      <w:spacing w:lineRule="auto" w:line="480" w:before="0" w:after="120"/>
      <w:ind w:left="283" w:right="0" w:hanging="0"/>
    </w:pPr>
    <w:rPr/>
  </w:style>
  <w:style w:type="paragraph" w:styleId="Style21">
    <w:name w:val="Title"/>
    <w:basedOn w:val="Normal"/>
    <w:uiPriority w:val="10"/>
    <w:qFormat/>
    <w:pPr>
      <w:widowControl/>
      <w:jc w:val="center"/>
    </w:pPr>
    <w:rPr>
      <w:b/>
      <w:sz w:val="28"/>
    </w:rPr>
  </w:style>
  <w:style w:type="paragraph" w:styleId="BodyText21">
    <w:name w:val="Body Text 2"/>
    <w:basedOn w:val="Normal"/>
    <w:link w:val="BodyText2"/>
    <w:qFormat/>
    <w:pPr>
      <w:widowControl/>
      <w:spacing w:lineRule="auto" w:line="480" w:before="0" w:after="120"/>
    </w:pPr>
    <w:rPr/>
  </w:style>
  <w:style w:type="table" w:default="1" w:styleId="Style_6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ts-tender.ru/" TargetMode="External"/><Relationship Id="rId3" Type="http://schemas.openxmlformats.org/officeDocument/2006/relationships/hyperlink" Target="https://www.rts-tender.ru/" TargetMode="External"/><Relationship Id="rId4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6" Type="http://schemas.openxmlformats.org/officeDocument/2006/relationships/hyperlink" Target="https://www.rts-tender.ru/" TargetMode="External"/><Relationship Id="rId7" Type="http://schemas.openxmlformats.org/officeDocument/2006/relationships/hyperlink" Target="https://www.rts-tender.ru/" TargetMode="External"/><Relationship Id="rId8" Type="http://schemas.openxmlformats.org/officeDocument/2006/relationships/hyperlink" Target="https://www.rts-tender.ru/" TargetMode="External"/><Relationship Id="rId9" Type="http://schemas.openxmlformats.org/officeDocument/2006/relationships/hyperlink" Target="https://www.rts-tender.ru/" TargetMode="External"/><Relationship Id="rId10" Type="http://schemas.openxmlformats.org/officeDocument/2006/relationships/hyperlink" Target="http://www.torgi.gov.ru/" TargetMode="External"/><Relationship Id="rId11" Type="http://schemas.openxmlformats.org/officeDocument/2006/relationships/hyperlink" Target="https://www.rts-tender.ru/" TargetMode="External"/><Relationship Id="rId12" Type="http://schemas.openxmlformats.org/officeDocument/2006/relationships/hyperlink" Target="consultantplus://offline/ref=3F57B589801BE6EC2996D876C1965BEF9B8228EFE7425AFE06DA8690E194D274F2DBFF0818EC82F9C6i2P" TargetMode="Externa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LibreOffice/7.3.7.2$Linux_X86_64 LibreOffice_project/30$Build-2</Application>
  <AppVersion>15.0000</AppVersion>
  <Pages>9</Pages>
  <Words>2940</Words>
  <Characters>21385</Characters>
  <CharactersWithSpaces>24217</CharactersWithSpaces>
  <Paragraphs>179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2025-03-31T23:37:19Z</dcterms:created>
  <dc:creator/>
  <dc:description/>
  <dc:language>ru-RU</dc:language>
  <cp:lastModifiedBy/>
  <dcterms:modified xsi:type="dcterms:W3CDTF">2025-07-03T11:05:26Z</dcterms:modified>
  <cp:revision>1</cp:revision>
  <dc:subject/>
  <dc:title/>
</cp:coreProperties>
</file>