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tabs>
          <w:tab w:val="clear" w:pos="708"/>
          <w:tab w:val="left" w:pos="567" w:leader="none"/>
        </w:tabs>
        <w:jc w:val="right"/>
        <w:rPr>
          <w:rFonts w:ascii="Times New Roman CYR" w:hAnsi="Times New Roman CYR" w:cs="Times New Roman CYR"/>
          <w:bCs/>
          <w:sz w:val="20"/>
          <w:szCs w:val="20"/>
        </w:rPr>
      </w:pPr>
      <w:r>
        <w:rPr>
          <w:rFonts w:cs="Times New Roman CYR" w:ascii="Times New Roman CYR" w:hAnsi="Times New Roman CYR"/>
          <w:bCs/>
          <w:sz w:val="20"/>
          <w:szCs w:val="20"/>
        </w:rPr>
      </w:r>
    </w:p>
    <w:p>
      <w:pPr>
        <w:pStyle w:val="Normal"/>
        <w:widowControl w:val="false"/>
        <w:tabs>
          <w:tab w:val="clear" w:pos="708"/>
          <w:tab w:val="left" w:pos="567" w:leader="none"/>
        </w:tabs>
        <w:jc w:val="center"/>
        <w:rPr>
          <w:rFonts w:ascii="Times New Roman CYR" w:hAnsi="Times New Roman CYR" w:cs="Times New Roman CYR"/>
          <w:b/>
          <w:b/>
          <w:caps/>
        </w:rPr>
      </w:pPr>
      <w:r>
        <w:rPr>
          <w:rFonts w:cs="Times New Roman CYR" w:ascii="Times New Roman CYR" w:hAnsi="Times New Roman CYR"/>
          <w:b/>
          <w:caps/>
        </w:rPr>
      </w:r>
    </w:p>
    <w:p>
      <w:pPr>
        <w:pStyle w:val="Normal"/>
        <w:widowControl w:val="false"/>
        <w:tabs>
          <w:tab w:val="clear" w:pos="708"/>
          <w:tab w:val="left" w:pos="567" w:leader="none"/>
        </w:tabs>
        <w:jc w:val="center"/>
        <w:rPr>
          <w:rFonts w:ascii="Times New Roman CYR" w:hAnsi="Times New Roman CYR" w:cs="Times New Roman CYR"/>
          <w:i/>
          <w:i/>
        </w:rPr>
      </w:pPr>
      <w:r>
        <w:rPr>
          <w:rFonts w:cs="Times New Roman CYR" w:ascii="Times New Roman CYR" w:hAnsi="Times New Roman CYR"/>
          <w:b/>
          <w:caps/>
        </w:rPr>
        <w:t>Протокол о результатах электронного аукциона по продаже арестованного ИМУЩЕСТВА (</w:t>
      </w:r>
      <w:r>
        <w:rPr>
          <w:rFonts w:cs="Times New Roman CYR" w:ascii="Times New Roman CYR" w:hAnsi="Times New Roman CYR"/>
          <w:i/>
        </w:rPr>
        <w:t>проект)</w:t>
      </w:r>
    </w:p>
    <w:p>
      <w:pPr>
        <w:pStyle w:val="Normal"/>
        <w:widowControl w:val="false"/>
        <w:tabs>
          <w:tab w:val="clear" w:pos="708"/>
          <w:tab w:val="left" w:pos="567" w:leader="none"/>
        </w:tabs>
        <w:jc w:val="center"/>
        <w:rPr>
          <w:rFonts w:ascii="Times New Roman CYR" w:hAnsi="Times New Roman CYR" w:cs="Times New Roman CYR"/>
          <w:b/>
          <w:b/>
        </w:rPr>
      </w:pPr>
      <w:r>
        <w:rPr>
          <w:rFonts w:cs="Times New Roman CYR" w:ascii="Times New Roman CYR" w:hAnsi="Times New Roman CYR"/>
          <w:b/>
        </w:rPr>
      </w:r>
    </w:p>
    <w:tbl>
      <w:tblPr>
        <w:tblW w:w="957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 w:noHBand="0" w:noVBand="0" w:firstColumn="1" w:lastRow="1" w:lastColumn="1" w:firstRow="1"/>
      </w:tblPr>
      <w:tblGrid>
        <w:gridCol w:w="4689"/>
        <w:gridCol w:w="4881"/>
      </w:tblGrid>
      <w:tr>
        <w:trPr>
          <w:trHeight w:val="329" w:hRule="atLeast"/>
        </w:trPr>
        <w:tc>
          <w:tcPr>
            <w:tcW w:w="4689" w:type="dxa"/>
            <w:tcBorders/>
          </w:tcPr>
          <w:p>
            <w:pPr>
              <w:pStyle w:val="Normal"/>
              <w:widowControl w:val="false"/>
              <w:spacing w:lineRule="auto" w:line="276"/>
              <w:jc w:val="both"/>
              <w:rPr>
                <w:b/>
                <w:b/>
                <w:lang w:eastAsia="en-US"/>
              </w:rPr>
            </w:pPr>
            <w:r>
              <w:rPr>
                <w:b/>
                <w:lang w:eastAsia="en-US"/>
              </w:rPr>
              <w:t>г. Петропавловск-Камчатский</w:t>
            </w:r>
          </w:p>
        </w:tc>
        <w:tc>
          <w:tcPr>
            <w:tcW w:w="4881" w:type="dxa"/>
            <w:tcBorders/>
          </w:tcPr>
          <w:p>
            <w:pPr>
              <w:pStyle w:val="Normal"/>
              <w:widowControl w:val="false"/>
              <w:spacing w:lineRule="auto" w:line="276"/>
              <w:jc w:val="both"/>
              <w:rPr>
                <w:b/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                           </w:t>
            </w:r>
            <w:r>
              <w:rPr>
                <w:b/>
                <w:lang w:eastAsia="en-US"/>
              </w:rPr>
              <w:t>«___» _____________20__ г.</w:t>
            </w:r>
          </w:p>
          <w:p>
            <w:pPr>
              <w:pStyle w:val="Normal"/>
              <w:widowControl w:val="false"/>
              <w:spacing w:lineRule="auto" w:line="276"/>
              <w:jc w:val="both"/>
              <w:rPr>
                <w:b/>
                <w:b/>
                <w:lang w:eastAsia="en-US"/>
              </w:rPr>
            </w:pPr>
            <w:r>
              <w:rPr>
                <w:b/>
                <w:lang w:eastAsia="en-US"/>
              </w:rPr>
            </w:r>
          </w:p>
        </w:tc>
      </w:tr>
    </w:tbl>
    <w:p>
      <w:pPr>
        <w:pStyle w:val="Style23"/>
        <w:ind w:firstLine="567"/>
        <w:jc w:val="both"/>
        <w:rPr>
          <w:b w:val="false"/>
          <w:b w:val="false"/>
          <w:sz w:val="24"/>
          <w:szCs w:val="24"/>
        </w:rPr>
      </w:pPr>
      <w:r>
        <w:rPr>
          <w:sz w:val="24"/>
          <w:szCs w:val="24"/>
        </w:rPr>
        <w:t xml:space="preserve">Территориальное управление Федерального агентства по управлению государственным имуществом в Камчатском крае, </w:t>
      </w:r>
      <w:r>
        <w:rPr>
          <w:b w:val="false"/>
          <w:sz w:val="24"/>
          <w:szCs w:val="24"/>
        </w:rPr>
        <w:t xml:space="preserve">именуемое в дальнейшем </w:t>
      </w:r>
      <w:r>
        <w:rPr>
          <w:sz w:val="24"/>
          <w:szCs w:val="24"/>
        </w:rPr>
        <w:t>«Продавец»</w:t>
      </w:r>
      <w:r>
        <w:rPr>
          <w:b w:val="false"/>
          <w:sz w:val="24"/>
          <w:szCs w:val="24"/>
        </w:rPr>
        <w:t>, в лице _________________, действующего на основании ______________, с одной стороны, и</w:t>
      </w:r>
      <w:r>
        <w:rPr>
          <w:sz w:val="24"/>
          <w:szCs w:val="24"/>
        </w:rPr>
        <w:t xml:space="preserve"> ________________</w:t>
      </w:r>
      <w:r>
        <w:rPr>
          <w:b w:val="false"/>
          <w:sz w:val="24"/>
          <w:szCs w:val="24"/>
        </w:rPr>
        <w:t xml:space="preserve">, именуемый в дальнейшем </w:t>
      </w:r>
      <w:r>
        <w:rPr>
          <w:sz w:val="24"/>
          <w:szCs w:val="24"/>
        </w:rPr>
        <w:t>«Покупатель»</w:t>
      </w:r>
      <w:r>
        <w:rPr>
          <w:b w:val="false"/>
          <w:color w:val="000000"/>
          <w:sz w:val="24"/>
          <w:szCs w:val="24"/>
        </w:rPr>
        <w:t xml:space="preserve">, с другой стороны, а вместе именуемые </w:t>
      </w:r>
      <w:r>
        <w:rPr>
          <w:color w:val="000000"/>
          <w:sz w:val="24"/>
          <w:szCs w:val="24"/>
        </w:rPr>
        <w:t>«Стороны»</w:t>
      </w:r>
      <w:r>
        <w:rPr>
          <w:b w:val="false"/>
          <w:color w:val="000000"/>
          <w:sz w:val="24"/>
          <w:szCs w:val="24"/>
        </w:rPr>
        <w:t xml:space="preserve">,  </w:t>
      </w:r>
      <w:r>
        <w:rPr>
          <w:b w:val="false"/>
          <w:sz w:val="24"/>
          <w:szCs w:val="24"/>
        </w:rPr>
        <w:t>в соответствии с Гражданским кодексом Российской Федерации, Федеральным законом от 02.10.2007г. № 229-ФЗ «Об исполнительном производстве»,</w:t>
      </w:r>
      <w:r>
        <w:rPr>
          <w:sz w:val="21"/>
          <w:szCs w:val="21"/>
        </w:rPr>
        <w:t xml:space="preserve"> </w:t>
      </w:r>
      <w:r>
        <w:rPr>
          <w:b w:val="false"/>
          <w:color w:val="000000"/>
          <w:sz w:val="24"/>
          <w:szCs w:val="24"/>
        </w:rPr>
        <w:t xml:space="preserve">на основании </w:t>
      </w:r>
      <w:r>
        <w:rPr>
          <w:b w:val="false"/>
          <w:sz w:val="24"/>
          <w:szCs w:val="24"/>
        </w:rPr>
        <w:t>Протокола подведения итогов электронного аукциона №___ от_________20__</w:t>
      </w:r>
      <w:r>
        <w:rPr>
          <w:b w:val="false"/>
          <w:color w:val="000000"/>
          <w:sz w:val="24"/>
          <w:szCs w:val="24"/>
        </w:rPr>
        <w:t xml:space="preserve">г., </w:t>
      </w:r>
      <w:r>
        <w:rPr>
          <w:b w:val="false"/>
          <w:sz w:val="24"/>
          <w:szCs w:val="24"/>
        </w:rPr>
        <w:t xml:space="preserve">(прошедшего на сайте электронной площадки    </w:t>
      </w:r>
      <w:hyperlink r:id="rId2">
        <w:r>
          <w:rPr>
            <w:b w:val="false"/>
            <w:sz w:val="24"/>
            <w:szCs w:val="24"/>
          </w:rPr>
          <w:t>https://www.rts-tender.ru</w:t>
        </w:r>
      </w:hyperlink>
      <w:r>
        <w:rPr>
          <w:b w:val="false"/>
          <w:sz w:val="24"/>
          <w:szCs w:val="24"/>
        </w:rPr>
        <w:t>) подписали настоящий Протокол о нижеследующем:</w:t>
      </w:r>
    </w:p>
    <w:p>
      <w:pPr>
        <w:pStyle w:val="Style23"/>
        <w:ind w:firstLine="567"/>
        <w:jc w:val="both"/>
        <w:rPr>
          <w:b w:val="false"/>
          <w:b w:val="false"/>
          <w:sz w:val="24"/>
          <w:szCs w:val="24"/>
        </w:rPr>
      </w:pPr>
      <w:r>
        <w:rPr>
          <w:b w:val="false"/>
          <w:sz w:val="24"/>
          <w:szCs w:val="24"/>
        </w:rPr>
      </w:r>
    </w:p>
    <w:p>
      <w:pPr>
        <w:pStyle w:val="Normal"/>
        <w:numPr>
          <w:ilvl w:val="0"/>
          <w:numId w:val="3"/>
        </w:numPr>
        <w:shd w:val="clear" w:color="auto" w:fill="FFFFFF"/>
        <w:jc w:val="center"/>
        <w:rPr>
          <w:b/>
          <w:b/>
          <w:bCs/>
          <w:color w:val="000000"/>
        </w:rPr>
      </w:pPr>
      <w:r>
        <w:rPr>
          <w:b/>
          <w:bCs/>
          <w:color w:val="000000"/>
        </w:rPr>
        <w:t xml:space="preserve">Предмет Протокола </w:t>
      </w:r>
    </w:p>
    <w:p>
      <w:pPr>
        <w:pStyle w:val="Normal"/>
        <w:shd w:val="clear" w:color="auto" w:fill="FFFFFF"/>
        <w:ind w:firstLine="567"/>
        <w:jc w:val="both"/>
        <w:rPr/>
      </w:pPr>
      <w:r>
        <w:rPr/>
        <w:t xml:space="preserve">1.1. </w:t>
      </w:r>
      <w:r>
        <w:rPr>
          <w:bCs/>
          <w:color w:val="000000"/>
        </w:rPr>
        <w:t>Продавец передает в собственность Покупателю, а Покупатель обязуется принять и оплатить следующее имущество</w:t>
      </w:r>
      <w:r>
        <w:rPr/>
        <w:t xml:space="preserve">: ____________________________ </w:t>
      </w:r>
      <w:r>
        <w:rPr>
          <w:bCs/>
          <w:color w:val="000000"/>
        </w:rPr>
        <w:t xml:space="preserve">(далее – </w:t>
      </w:r>
      <w:r>
        <w:rPr>
          <w:b/>
          <w:bCs/>
          <w:color w:val="000000"/>
        </w:rPr>
        <w:t>Имущество</w:t>
      </w:r>
      <w:r>
        <w:rPr>
          <w:bCs/>
          <w:color w:val="000000"/>
        </w:rPr>
        <w:t>).</w:t>
      </w:r>
    </w:p>
    <w:p>
      <w:pPr>
        <w:pStyle w:val="Normal"/>
        <w:ind w:firstLine="567"/>
        <w:jc w:val="both"/>
        <w:rPr/>
      </w:pPr>
      <w:r>
        <w:rPr/>
        <w:t xml:space="preserve">1.2. Имущество реализовано на электронном аукционе на основании Постановления судебного пристава-исполнителя УФССП России по Камчатскому краю и Чукотскому автономному округу о передаче арестованного имущества на торги </w:t>
        <w:br/>
        <w:t>от «____» _________________20___г.</w:t>
      </w:r>
    </w:p>
    <w:p>
      <w:pPr>
        <w:pStyle w:val="Normal"/>
        <w:ind w:firstLine="567"/>
        <w:jc w:val="both"/>
        <w:rPr>
          <w:bCs/>
          <w:iCs/>
        </w:rPr>
      </w:pPr>
      <w:r>
        <w:rPr/>
        <w:t xml:space="preserve">1.3. Покупатель поставлен в известность о том, что Актом о наложении ареста (описи имущества) от _________20__г., вынесенным судебным приставом-исполнителем УФССП России по Камчатскому краю и Чукотскому автономному округу </w:t>
        <w:br/>
        <w:t>от «____» _________________20___г., на Имущество наложен арест.</w:t>
      </w:r>
    </w:p>
    <w:p>
      <w:pPr>
        <w:pStyle w:val="Normal"/>
        <w:tabs>
          <w:tab w:val="clear" w:pos="708"/>
          <w:tab w:val="left" w:pos="567" w:leader="none"/>
        </w:tabs>
        <w:jc w:val="both"/>
        <w:rPr/>
      </w:pPr>
      <w:r>
        <w:rPr/>
        <w:tab/>
      </w:r>
    </w:p>
    <w:p>
      <w:pPr>
        <w:pStyle w:val="Normal"/>
        <w:numPr>
          <w:ilvl w:val="0"/>
          <w:numId w:val="1"/>
        </w:numPr>
        <w:shd w:val="clear" w:color="auto" w:fill="FFFFFF"/>
        <w:jc w:val="center"/>
        <w:rPr>
          <w:b/>
          <w:b/>
          <w:bCs/>
          <w:color w:val="000000"/>
        </w:rPr>
      </w:pPr>
      <w:r>
        <w:rPr>
          <w:b/>
          <w:bCs/>
          <w:color w:val="000000"/>
        </w:rPr>
        <w:t>Стоимость Имущества, порядок расчетов</w:t>
      </w:r>
    </w:p>
    <w:p>
      <w:pPr>
        <w:pStyle w:val="PlainTex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2.1. Стоимость Имущества, установленная по результатам электронного аукциона, составляет ___________________________________________________________________.</w:t>
      </w:r>
    </w:p>
    <w:p>
      <w:pPr>
        <w:pStyle w:val="PlainTex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2.2. В соответствии с платежными поручениями от «___» __________ 20___г. №___ Покупателем была внесена сумма задатка в размере___________________________, которая засчитывается в счет оплаты стоимости Имущества. </w:t>
      </w:r>
    </w:p>
    <w:p>
      <w:pPr>
        <w:pStyle w:val="PlainTex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2.3. За вычетом суммы задатка Покупатель в течение 5 (пяти) рабочих дней со дня проведения аукциона обязуется оплатить Продавцу сумму в размере ___________________.</w:t>
      </w:r>
    </w:p>
    <w:p>
      <w:pPr>
        <w:pStyle w:val="PlainText"/>
        <w:ind w:firstLine="708"/>
        <w:jc w:val="both"/>
        <w:rPr>
          <w:rFonts w:ascii="Times New Roman" w:hAnsi="Times New Roman" w:cs="Times New Roman"/>
          <w:b/>
          <w:b/>
          <w:sz w:val="21"/>
          <w:szCs w:val="21"/>
        </w:rPr>
      </w:pPr>
      <w:r>
        <w:rPr>
          <w:rFonts w:cs="Times New Roman" w:ascii="Times New Roman" w:hAnsi="Times New Roman"/>
          <w:sz w:val="24"/>
          <w:szCs w:val="24"/>
        </w:rPr>
        <w:t>Оплата суммы, указанной в п.2.3. настоящего протокола, производится Покупателем путем перечисления денежных средств на счет Продавца по следующим реквизитам:</w:t>
      </w:r>
      <w:r>
        <w:rPr>
          <w:rFonts w:cs="Times New Roman" w:ascii="Times New Roman" w:hAnsi="Times New Roman"/>
          <w:sz w:val="21"/>
          <w:szCs w:val="21"/>
        </w:rPr>
        <w:t xml:space="preserve"> </w:t>
      </w:r>
      <w:r>
        <w:rPr>
          <w:rFonts w:cs="Times New Roman" w:ascii="Times New Roman" w:hAnsi="Times New Roman"/>
          <w:b/>
          <w:sz w:val="22"/>
          <w:szCs w:val="22"/>
        </w:rPr>
        <w:t xml:space="preserve">УФК по Камчатскому краю (ТУ Росимущества в Камчатском крае л/с 05381А23450), ИНН/КПП: 4101133149/410101001, </w:t>
      </w:r>
      <w:r>
        <w:rPr>
          <w:rFonts w:cs="Times New Roman" w:ascii="Times New Roman" w:hAnsi="Times New Roman"/>
          <w:b/>
          <w:sz w:val="22"/>
          <w:szCs w:val="22"/>
        </w:rPr>
        <w:t>ОКЦ № 4 ДГУ БАНКА РОССИИ</w:t>
      </w:r>
      <w:r>
        <w:rPr>
          <w:rFonts w:cs="Times New Roman" w:ascii="Times New Roman" w:hAnsi="Times New Roman"/>
          <w:b/>
          <w:sz w:val="22"/>
          <w:szCs w:val="22"/>
        </w:rPr>
        <w:t>//УФК по Камчатскому краю г. Петропавловск-Камчатский, номер казначейского счета 03212643000000013800, единый казначейский счет 40102810945370000031, БИК: 013002402, ОКТМО: 30701000.</w:t>
      </w:r>
    </w:p>
    <w:p>
      <w:pPr>
        <w:pStyle w:val="PlainTex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2.4. Надлежащим выполнением обязательств Покупателя по оплате Имущества является поступление денежных средств в порядке, сумме и сроки, указанные в п.2.3. настоящего Протокола.</w:t>
      </w:r>
    </w:p>
    <w:p>
      <w:pPr>
        <w:pStyle w:val="Normal"/>
        <w:tabs>
          <w:tab w:val="clear" w:pos="708"/>
          <w:tab w:val="left" w:pos="540" w:leader="none"/>
        </w:tabs>
        <w:jc w:val="both"/>
        <w:rPr>
          <w:b/>
          <w:b/>
          <w:bCs/>
          <w:color w:val="000000"/>
        </w:rPr>
      </w:pPr>
      <w:r>
        <w:rPr>
          <w:b/>
          <w:bCs/>
          <w:color w:val="000000"/>
        </w:rPr>
      </w:r>
    </w:p>
    <w:p>
      <w:pPr>
        <w:pStyle w:val="Normal"/>
        <w:numPr>
          <w:ilvl w:val="0"/>
          <w:numId w:val="1"/>
        </w:numPr>
        <w:jc w:val="center"/>
        <w:rPr>
          <w:b/>
          <w:b/>
        </w:rPr>
      </w:pPr>
      <w:r>
        <w:rPr>
          <w:b/>
        </w:rPr>
        <w:t>Передача Имущества и переход права собственности</w:t>
      </w:r>
    </w:p>
    <w:p>
      <w:pPr>
        <w:pStyle w:val="PlainTex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3.1. Имущество передается на основании протокола об определении победителя аукциона, настоящего Протокола, а также на основании документа, подтверждающего оплату Имущества. </w:t>
      </w:r>
    </w:p>
    <w:p>
      <w:pPr>
        <w:pStyle w:val="PlainTex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3.2. </w:t>
      </w:r>
      <w:bookmarkStart w:id="0" w:name="_GoBack"/>
      <w:bookmarkEnd w:id="0"/>
      <w:r>
        <w:rPr>
          <w:rFonts w:cs="Times New Roman" w:ascii="Times New Roman" w:hAnsi="Times New Roman"/>
          <w:sz w:val="24"/>
          <w:szCs w:val="24"/>
        </w:rPr>
        <w:t>Имущество считается переданным в собственность Покупателя с момента оформления акта приема-передачи.</w:t>
      </w:r>
    </w:p>
    <w:p>
      <w:pPr>
        <w:pStyle w:val="PlainTex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PlainTex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PlainTex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PlainTex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PlainTex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PlainTex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both"/>
        <w:rPr/>
      </w:pPr>
      <w:r>
        <w:rPr/>
      </w:r>
    </w:p>
    <w:p>
      <w:pPr>
        <w:pStyle w:val="Normal"/>
        <w:numPr>
          <w:ilvl w:val="0"/>
          <w:numId w:val="1"/>
        </w:numPr>
        <w:jc w:val="center"/>
        <w:rPr>
          <w:b/>
          <w:b/>
        </w:rPr>
      </w:pPr>
      <w:r>
        <w:rPr>
          <w:b/>
        </w:rPr>
        <w:t>Ответственность сторон</w:t>
      </w:r>
    </w:p>
    <w:p>
      <w:pPr>
        <w:pStyle w:val="PlainTex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4.1. Стороны договорились, что не поступление на счет Продавца денежных средств в счет оплаты стоимости Имущества в сумме и в сроки, установленные настоящим Протоколом, считается отказом Покупателя от исполнения обязательств по оплате Имущества.</w:t>
      </w:r>
    </w:p>
    <w:p>
      <w:pPr>
        <w:pStyle w:val="PlainTex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 этом случае Продавец вправе отказаться от исполнения своих обязательств по настоящему Протоколу, уведомив Покупателя о прекращении действия настоящего Протокола,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действия настоящего Протокола не требуется.</w:t>
      </w:r>
    </w:p>
    <w:p>
      <w:pPr>
        <w:pStyle w:val="PlainTex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4.2. Стороны договорились, что Продавец не несет ответственности за ущерб, который может быть причинен Покупателю отменой аукциона или снятием с аукциона части имущества (независимо от времени отмены или снятия), а также приостановлением организации  и проведения аукциона в случае, если данные действия осуществлены во исполнение поступившего от государственного органа постановления об отложении, приостановлении или прекращении исполнительного производства, а также в иных предусмотренных федеральным законодательством и иными нормативными правовыми актами случаях, отзыва государственным органом заявки на реализацию имущества или уменьшения объема (количества) выставленного на аукцион имущества.</w:t>
      </w:r>
    </w:p>
    <w:p>
      <w:pPr>
        <w:pStyle w:val="Normal"/>
        <w:ind w:firstLine="360"/>
        <w:jc w:val="both"/>
        <w:rPr/>
      </w:pPr>
      <w:r>
        <w:rPr/>
      </w:r>
    </w:p>
    <w:p>
      <w:pPr>
        <w:pStyle w:val="Normal"/>
        <w:numPr>
          <w:ilvl w:val="0"/>
          <w:numId w:val="1"/>
        </w:numPr>
        <w:jc w:val="center"/>
        <w:rPr>
          <w:b/>
          <w:b/>
        </w:rPr>
      </w:pPr>
      <w:r>
        <w:rPr>
          <w:b/>
        </w:rPr>
        <w:t>Прочие условия</w:t>
      </w:r>
    </w:p>
    <w:p>
      <w:pPr>
        <w:pStyle w:val="PlainTex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5.1. Настоящий Протокол вступает в силу с момента его подписания и прекращает свое действие при:</w:t>
      </w:r>
    </w:p>
    <w:p>
      <w:pPr>
        <w:pStyle w:val="PlainTex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надлежащем исполнении Сторонами своих обязательств;</w:t>
      </w:r>
    </w:p>
    <w:p>
      <w:pPr>
        <w:pStyle w:val="PlainTex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расторжении в предусмотренных законодательством Российской Федерации и настоящим Протоколом случаях;</w:t>
      </w:r>
    </w:p>
    <w:p>
      <w:pPr>
        <w:pStyle w:val="PlainTex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возникновении иных оснований, предусмотренных законодательством Российской Федерации.</w:t>
      </w:r>
    </w:p>
    <w:p>
      <w:pPr>
        <w:pStyle w:val="PlainTex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5.2. Любые изменения и дополнения к настоящему Протоколу действительны только в том случае, если они совершены в письменной форме и подписаны надлежаще уполномоченными на то представителями Сторон.</w:t>
      </w:r>
    </w:p>
    <w:p>
      <w:pPr>
        <w:pStyle w:val="PlainTex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5.3. Все уведомления и сообщения должны направляться сторонами друг другу в письменной форме.</w:t>
      </w:r>
    </w:p>
    <w:p>
      <w:pPr>
        <w:pStyle w:val="PlainTex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5.4. Все споры и/или разногласия, возникающие между сторонами по вопросам, не нашедшим своего разрешения в тексте данного протокола будут разрешаться путём переговоров. При не урегулировании в процессе переговоров спорных вопросов, споры разрешаются в Арбитражном суде Камчатского края.</w:t>
      </w:r>
    </w:p>
    <w:p>
      <w:pPr>
        <w:pStyle w:val="PlainTex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5.5. Покупатель за счет собственных сил и средств осуществляет государственную или иную регистрацию перехода права собственности на приобретенное Имущество.</w:t>
      </w:r>
    </w:p>
    <w:p>
      <w:pPr>
        <w:pStyle w:val="Normal"/>
        <w:tabs>
          <w:tab w:val="clear" w:pos="708"/>
          <w:tab w:val="left" w:pos="567" w:leader="none"/>
        </w:tabs>
        <w:jc w:val="both"/>
        <w:rPr/>
      </w:pPr>
      <w:r>
        <w:rPr/>
      </w:r>
    </w:p>
    <w:p>
      <w:pPr>
        <w:pStyle w:val="Normal"/>
        <w:numPr>
          <w:ilvl w:val="0"/>
          <w:numId w:val="1"/>
        </w:numPr>
        <w:jc w:val="center"/>
        <w:rPr>
          <w:b/>
          <w:b/>
        </w:rPr>
      </w:pPr>
      <w:r>
        <w:rPr>
          <w:b/>
        </w:rPr>
        <w:t>Заключительные положения</w:t>
      </w:r>
    </w:p>
    <w:p>
      <w:pPr>
        <w:pStyle w:val="Normal"/>
        <w:tabs>
          <w:tab w:val="clear" w:pos="708"/>
          <w:tab w:val="left" w:pos="567" w:leader="none"/>
        </w:tabs>
        <w:jc w:val="both"/>
        <w:rPr/>
      </w:pPr>
      <w:r>
        <w:rPr/>
        <w:tab/>
        <w:t>6.1. Настоящий Протокол составлен в трех экземплярах, имеющих одинаковую юридическую силу.</w:t>
      </w:r>
    </w:p>
    <w:p>
      <w:pPr>
        <w:pStyle w:val="Normal"/>
        <w:tabs>
          <w:tab w:val="clear" w:pos="708"/>
          <w:tab w:val="left" w:pos="567" w:leader="none"/>
        </w:tabs>
        <w:jc w:val="both"/>
        <w:rPr/>
      </w:pPr>
      <w:r>
        <w:rPr/>
      </w:r>
    </w:p>
    <w:p>
      <w:pPr>
        <w:pStyle w:val="Normal"/>
        <w:numPr>
          <w:ilvl w:val="0"/>
          <w:numId w:val="1"/>
        </w:numPr>
        <w:jc w:val="center"/>
        <w:rPr>
          <w:b/>
          <w:b/>
        </w:rPr>
      </w:pPr>
      <w:r>
        <w:rPr>
          <w:b/>
        </w:rPr>
        <w:t>Реквизиты сторон</w:t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701" w:right="850" w:gutter="0" w:header="0" w:top="0" w:footer="0" w:bottom="426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Courier New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 CYR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1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0" w:semiHidden="0" w:unhideWhenUsed="0" w:qFormat="1"/>
    <w:lsdException w:name="Default Paragraph Font" w:uiPriority="1"/>
    <w:lsdException w:name="Body Text Indent" w:uiPriority="0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Plain Text" w:uiPriority="0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937951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ru-RU" w:val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Название Знак"/>
    <w:basedOn w:val="DefaultParagraphFont"/>
    <w:qFormat/>
    <w:rsid w:val="00937951"/>
    <w:rPr>
      <w:rFonts w:ascii="Times New Roman" w:hAnsi="Times New Roman" w:eastAsia="Times New Roman" w:cs="Times New Roman"/>
      <w:b/>
      <w:sz w:val="28"/>
      <w:szCs w:val="20"/>
      <w:lang w:eastAsia="ru-RU"/>
    </w:rPr>
  </w:style>
  <w:style w:type="character" w:styleId="Style15">
    <w:name w:val="Интернет-ссылка"/>
    <w:basedOn w:val="DefaultParagraphFont"/>
    <w:uiPriority w:val="99"/>
    <w:semiHidden/>
    <w:unhideWhenUsed/>
    <w:rsid w:val="00d5640d"/>
    <w:rPr>
      <w:color w:val="0000FF"/>
      <w:u w:val="single"/>
    </w:rPr>
  </w:style>
  <w:style w:type="character" w:styleId="Style16" w:customStyle="1">
    <w:name w:val="Текст Знак"/>
    <w:basedOn w:val="DefaultParagraphFont"/>
    <w:link w:val="PlainText"/>
    <w:qFormat/>
    <w:rsid w:val="005608d6"/>
    <w:rPr>
      <w:rFonts w:ascii="Courier New" w:hAnsi="Courier New" w:eastAsia="Times New Roman" w:cs="Courier New"/>
      <w:sz w:val="20"/>
      <w:szCs w:val="20"/>
      <w:lang w:eastAsia="ru-RU"/>
    </w:rPr>
  </w:style>
  <w:style w:type="character" w:styleId="Style17" w:customStyle="1">
    <w:name w:val="Основной текст с отступом Знак"/>
    <w:basedOn w:val="DefaultParagraphFont"/>
    <w:qFormat/>
    <w:rsid w:val="008f7310"/>
    <w:rPr>
      <w:rFonts w:ascii="Times New Roman" w:hAnsi="Times New Roman" w:eastAsia="Times New Roman" w:cs="Times New Roman"/>
      <w:sz w:val="24"/>
      <w:szCs w:val="20"/>
      <w:lang w:eastAsia="ru-RU"/>
    </w:rPr>
  </w:style>
  <w:style w:type="paragraph" w:styleId="Style18">
    <w:name w:val="Заголовок"/>
    <w:basedOn w:val="Normal"/>
    <w:next w:val="Style19"/>
    <w:qFormat/>
    <w:pPr>
      <w:keepNext w:val="true"/>
      <w:spacing w:before="240" w:after="120"/>
    </w:pPr>
    <w:rPr>
      <w:rFonts w:ascii="Liberation Sans" w:hAnsi="Liberation Sans" w:eastAsia="Tahoma" w:cs="Droid Sans Devanagari"/>
      <w:sz w:val="28"/>
      <w:szCs w:val="28"/>
    </w:rPr>
  </w:style>
  <w:style w:type="paragraph" w:styleId="Style19">
    <w:name w:val="Body Text"/>
    <w:basedOn w:val="Normal"/>
    <w:pPr>
      <w:spacing w:lineRule="auto" w:line="276" w:before="0" w:after="140"/>
    </w:pPr>
    <w:rPr/>
  </w:style>
  <w:style w:type="paragraph" w:styleId="Style20">
    <w:name w:val="List"/>
    <w:basedOn w:val="Style19"/>
    <w:pPr/>
    <w:rPr>
      <w:rFonts w:cs="Droid Sans Devanagari"/>
    </w:rPr>
  </w:style>
  <w:style w:type="paragraph" w:styleId="Style21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Style22">
    <w:name w:val="Указатель"/>
    <w:basedOn w:val="Normal"/>
    <w:qFormat/>
    <w:pPr>
      <w:suppressLineNumbers/>
    </w:pPr>
    <w:rPr>
      <w:rFonts w:cs="Droid Sans Devanagari"/>
      <w:lang w:val="zxx" w:eastAsia="zxx" w:bidi="zxx"/>
    </w:rPr>
  </w:style>
  <w:style w:type="paragraph" w:styleId="Style23">
    <w:name w:val="Title"/>
    <w:basedOn w:val="Normal"/>
    <w:link w:val="Style14"/>
    <w:qFormat/>
    <w:rsid w:val="00937951"/>
    <w:pPr>
      <w:jc w:val="center"/>
    </w:pPr>
    <w:rPr>
      <w:b/>
      <w:sz w:val="28"/>
      <w:szCs w:val="20"/>
    </w:rPr>
  </w:style>
  <w:style w:type="paragraph" w:styleId="PlainText">
    <w:name w:val="Plain Text"/>
    <w:basedOn w:val="Normal"/>
    <w:link w:val="Style16"/>
    <w:qFormat/>
    <w:rsid w:val="005608d6"/>
    <w:pPr/>
    <w:rPr>
      <w:rFonts w:ascii="Courier New" w:hAnsi="Courier New" w:cs="Courier New"/>
      <w:sz w:val="20"/>
      <w:szCs w:val="20"/>
    </w:rPr>
  </w:style>
  <w:style w:type="paragraph" w:styleId="Style24">
    <w:name w:val="Body Text Indent"/>
    <w:basedOn w:val="Normal"/>
    <w:link w:val="Style17"/>
    <w:rsid w:val="008f7310"/>
    <w:pPr>
      <w:ind w:firstLine="720"/>
      <w:jc w:val="both"/>
    </w:pPr>
    <w:rPr>
      <w:szCs w:val="20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www.rts-tender.ru/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Application>LibreOffice/7.3.7.2$Linux_X86_64 LibreOffice_project/30$Build-2</Application>
  <AppVersion>15.0000</AppVersion>
  <Pages>2</Pages>
  <Words>674</Words>
  <Characters>5015</Characters>
  <CharactersWithSpaces>5689</CharactersWithSpaces>
  <Paragraphs>34</Paragraphs>
  <Company>ФАУГИ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2021-08-25T23:35:00Z</dcterms:created>
  <dc:creator>Мыльникова Ольга Ивановна (ТУ в Камчатском крае)</dc:creator>
  <dc:description/>
  <dc:language>ru-RU</dc:language>
  <cp:lastModifiedBy/>
  <dcterms:modified xsi:type="dcterms:W3CDTF">2025-10-28T14:10:39Z</dcterms:modified>
  <cp:revision>17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