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jc w:val="center"/>
        <w:rPr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 xml:space="preserve">Информационное сообщение </w:t>
      </w:r>
    </w:p>
    <w:p>
      <w:pPr>
        <w:pStyle w:val="Normal"/>
        <w:spacing w:lineRule="auto" w:line="240" w:before="0" w:after="0"/>
        <w:ind w:firstLine="561"/>
        <w:jc w:val="center"/>
        <w:rPr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 xml:space="preserve">о проведении продажи посредством публичного предложения </w:t>
      </w:r>
    </w:p>
    <w:p>
      <w:pPr>
        <w:pStyle w:val="Normal"/>
        <w:spacing w:before="0" w:after="0"/>
        <w:jc w:val="center"/>
        <w:rPr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 xml:space="preserve">высвобождаемого движимого военного имущества № </w:t>
      </w:r>
      <w:r>
        <w:rPr>
          <w:rFonts w:cs="Times New Roman" w:ascii="Times New Roman" w:hAnsi="Times New Roman"/>
          <w:b/>
          <w:sz w:val="20"/>
          <w:szCs w:val="20"/>
        </w:rPr>
        <w:t>4</w:t>
      </w:r>
    </w:p>
    <w:tbl>
      <w:tblPr>
        <w:tblW w:w="10203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noHBand="0" w:noVBand="1" w:firstColumn="1" w:lastRow="0" w:lastColumn="0" w:firstRow="1"/>
      </w:tblPr>
      <w:tblGrid>
        <w:gridCol w:w="624"/>
        <w:gridCol w:w="2607"/>
        <w:gridCol w:w="6972"/>
      </w:tblGrid>
      <w:tr>
        <w:trPr/>
        <w:tc>
          <w:tcPr>
            <w:tcW w:w="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№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п/п</w:t>
            </w:r>
          </w:p>
        </w:tc>
        <w:tc>
          <w:tcPr>
            <w:tcW w:w="26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Наименование сведений</w:t>
            </w:r>
          </w:p>
        </w:tc>
        <w:tc>
          <w:tcPr>
            <w:tcW w:w="69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Информация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bidi w:val="0"/>
              <w:spacing w:lineRule="auto" w:line="240" w:before="0" w:after="0"/>
              <w:ind w:hanging="624" w:start="624" w:end="624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6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Наименование государственного органа, принявшего решение об условиях приватизации имущества, реквизиты указанного решения</w:t>
            </w:r>
          </w:p>
        </w:tc>
        <w:tc>
          <w:tcPr>
            <w:tcW w:w="69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Cs/>
                <w:color w:val="000000"/>
                <w:kern w:val="0"/>
                <w:sz w:val="20"/>
                <w:szCs w:val="20"/>
                <w:lang w:val="ru-RU" w:eastAsia="en-US" w:bidi="ar-SA"/>
              </w:rPr>
              <w:t xml:space="preserve">Федеральное казенное учреждение «Дальневосточный центр материально-технического обеспечения Федеральной службы войск национальной гвардии» (на основании Сводного перечня движимого военного имущества, подлежащего реализации по номенклатуре ДТО Росгвардии, подлежащего </w:t>
            </w:r>
            <w:r>
              <w:rPr>
                <w:rFonts w:eastAsia="Times New Roman" w:cs="Times New Roman" w:ascii="Times New Roman" w:hAnsi="Times New Roman"/>
                <w:bCs/>
                <w:color w:val="000000"/>
                <w:kern w:val="0"/>
                <w:sz w:val="20"/>
                <w:szCs w:val="20"/>
                <w:lang w:val="ru-RU" w:eastAsia="ru-RU" w:bidi="ar-SA"/>
              </w:rPr>
              <w:t xml:space="preserve">в </w:t>
            </w:r>
            <w:r>
              <w:rPr>
                <w:rFonts w:eastAsia="Times New Roman" w:cs="Times New Roman" w:ascii="Times New Roman" w:hAnsi="Times New Roman"/>
                <w:bCs/>
                <w:color w:val="auto"/>
                <w:kern w:val="0"/>
                <w:sz w:val="20"/>
                <w:szCs w:val="20"/>
                <w:lang w:val="ru-RU" w:eastAsia="ru-RU" w:bidi="ar-SA"/>
              </w:rPr>
              <w:t>2026</w:t>
            </w:r>
            <w:r>
              <w:rPr>
                <w:rFonts w:eastAsia="Times New Roman" w:cs="Times New Roman" w:ascii="Times New Roman" w:hAnsi="Times New Roman"/>
                <w:bCs/>
                <w:color w:val="000000"/>
                <w:kern w:val="0"/>
                <w:sz w:val="20"/>
                <w:szCs w:val="20"/>
                <w:lang w:val="ru-RU" w:eastAsia="ru-RU" w:bidi="ar-SA"/>
              </w:rPr>
              <w:t xml:space="preserve"> году (</w:t>
            </w:r>
            <w:r>
              <w:rPr>
                <w:rFonts w:eastAsia="Calibri" w:cs="Times New Roman" w:ascii="Times New Roman" w:hAnsi="Times New Roman"/>
                <w:bCs/>
                <w:color w:val="auto"/>
                <w:kern w:val="0"/>
                <w:sz w:val="20"/>
                <w:szCs w:val="20"/>
                <w:lang w:val="ru-RU" w:eastAsia="en-US" w:bidi="ar-SA"/>
              </w:rPr>
              <w:t xml:space="preserve">распоряжения заместителя директора ФС ВНГ РФ – главнокомандующего ВНГ </w:t>
            </w:r>
            <w:r>
              <w:rPr>
                <w:rFonts w:eastAsia="Calibri" w:cs="Times New Roman" w:ascii="Times New Roman" w:hAnsi="Times New Roman"/>
                <w:bCs/>
                <w:color w:val="000000"/>
                <w:kern w:val="0"/>
                <w:sz w:val="20"/>
                <w:szCs w:val="20"/>
                <w:lang w:val="ru-RU" w:eastAsia="en-US" w:bidi="ar-SA"/>
              </w:rPr>
              <w:t xml:space="preserve">от </w:t>
            </w:r>
            <w:r>
              <w:rPr>
                <w:rFonts w:eastAsia="Calibri" w:cs="Times New Roman" w:ascii="Times New Roman" w:hAnsi="Times New Roman"/>
                <w:bCs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05.05.2026 № 23/3878</w:t>
            </w:r>
            <w:r>
              <w:rPr>
                <w:rFonts w:eastAsia="Calibri" w:cs="Times New Roman" w:ascii="Times New Roman" w:hAnsi="Times New Roman"/>
                <w:bCs/>
                <w:color w:val="000000"/>
                <w:kern w:val="0"/>
                <w:sz w:val="20"/>
                <w:szCs w:val="20"/>
                <w:lang w:val="ru-RU" w:eastAsia="en-US" w:bidi="ar-SA"/>
              </w:rPr>
              <w:t>)</w:t>
            </w:r>
            <w:r>
              <w:rPr>
                <w:rFonts w:eastAsia="Times New Roman" w:cs="Times New Roman" w:ascii="Times New Roman" w:hAnsi="Times New Roman"/>
                <w:bCs/>
                <w:sz w:val="20"/>
                <w:szCs w:val="20"/>
                <w:lang w:eastAsia="ru-RU"/>
              </w:rPr>
              <w:t>.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bidi w:val="0"/>
              <w:spacing w:lineRule="auto" w:line="240" w:before="0" w:after="0"/>
              <w:ind w:hanging="624" w:start="624" w:end="624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6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Наименование имущества и иные позволяющие его индивидуализировать сведения (характеристика имущества)</w:t>
            </w:r>
          </w:p>
        </w:tc>
        <w:tc>
          <w:tcPr>
            <w:tcW w:w="69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hanging="0" w:start="0" w:end="-1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 xml:space="preserve">Высвобождаемое движимое имущество автобронетанковой </w:t>
            </w:r>
            <w:r>
              <w:rPr>
                <w:rFonts w:eastAsia="Calibri" w:cs="Times New Roman" w:ascii="Times New Roman" w:hAnsi="Times New Roman"/>
                <w:b/>
                <w:sz w:val="20"/>
                <w:szCs w:val="20"/>
              </w:rPr>
              <w:t>службы.</w:t>
            </w:r>
          </w:p>
          <w:p>
            <w:pPr>
              <w:pStyle w:val="Normal"/>
              <w:spacing w:lineRule="auto" w:line="240" w:before="0" w:after="0"/>
              <w:ind w:hanging="0" w:start="0" w:end="-1"/>
              <w:jc w:val="both"/>
              <w:rPr>
                <w:sz w:val="20"/>
                <w:szCs w:val="20"/>
              </w:rPr>
            </w:pPr>
            <w:r>
              <w:rPr>
                <w:rFonts w:eastAsia="Arial Unicode MS" w:cs="Times New Roman" w:ascii="Times New Roman" w:hAnsi="Times New Roman"/>
                <w:color w:val="000000"/>
                <w:sz w:val="20"/>
                <w:szCs w:val="20"/>
              </w:rPr>
              <w:t>Перечень и характеристика имущества указаны в Приложении № 1 к настоящему Информационному сообщению.</w:t>
            </w:r>
          </w:p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eastAsia="Arial Unicode MS" w:cs="Times New Roman" w:ascii="Times New Roman" w:hAnsi="Times New Roman"/>
                <w:color w:val="000000"/>
                <w:sz w:val="20"/>
                <w:szCs w:val="20"/>
              </w:rPr>
              <w:t xml:space="preserve">Местонахождение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имущества</w:t>
            </w:r>
            <w:r>
              <w:rPr>
                <w:rFonts w:eastAsia="Arial Unicode MS" w:cs="Times New Roman" w:ascii="Times New Roman" w:hAnsi="Times New Roman"/>
                <w:color w:val="000000"/>
                <w:sz w:val="20"/>
                <w:szCs w:val="20"/>
              </w:rPr>
              <w:t>:</w:t>
            </w:r>
          </w:p>
          <w:p>
            <w:pPr>
              <w:pStyle w:val="Normal"/>
              <w:spacing w:lineRule="auto" w:line="240" w:before="0" w:after="0"/>
              <w:ind w:hanging="0" w:start="0" w:end="-1"/>
              <w:jc w:val="both"/>
              <w:rPr/>
            </w:pPr>
            <w:r>
              <w:rPr>
                <w:rStyle w:val="FontStyle19"/>
                <w:rFonts w:eastAsia="Calibri" w:cs="Times New Roman"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shd w:fill="auto" w:val="clear"/>
                <w:em w:val="none"/>
                <w:lang w:val="ru-RU" w:eastAsia="ru-RU" w:bidi="ar-SA"/>
              </w:rPr>
              <w:t>680555, Хабаровский край, Хабаровский район, с. Сосновка ул. Шоссейная, д. 5, войсковая часть 6767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bidi w:val="0"/>
              <w:spacing w:lineRule="auto" w:line="240" w:before="0" w:after="0"/>
              <w:ind w:hanging="624" w:start="624" w:end="624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6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Способ приватизации имущества</w:t>
            </w:r>
          </w:p>
        </w:tc>
        <w:tc>
          <w:tcPr>
            <w:tcW w:w="69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bCs/>
                <w:color w:val="auto"/>
                <w:kern w:val="0"/>
                <w:sz w:val="20"/>
                <w:szCs w:val="20"/>
                <w:lang w:val="ru-RU" w:eastAsia="en-US" w:bidi="ar-SA"/>
              </w:rPr>
              <w:t>Продажа государственного имущества посредством публичного предложения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bidi w:val="0"/>
              <w:spacing w:lineRule="auto" w:line="240" w:before="0" w:after="0"/>
              <w:ind w:hanging="624" w:start="624" w:end="624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6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Начальная цена продажи </w:t>
            </w:r>
            <w:r>
              <w:rPr>
                <w:rFonts w:cs="Times New Roman" w:ascii="Times New Roman" w:hAnsi="Times New Roman"/>
                <w:bCs/>
                <w:sz w:val="20"/>
                <w:szCs w:val="20"/>
              </w:rPr>
              <w:t>имущества</w:t>
            </w:r>
          </w:p>
        </w:tc>
        <w:tc>
          <w:tcPr>
            <w:tcW w:w="69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182 629,55 руб.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bidi w:val="0"/>
              <w:spacing w:lineRule="auto" w:line="240" w:before="0" w:after="0"/>
              <w:ind w:hanging="624" w:start="624" w:end="624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6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Величина повышения начальной цены («шаг понижения»)</w:t>
            </w:r>
          </w:p>
        </w:tc>
        <w:tc>
          <w:tcPr>
            <w:tcW w:w="69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color w:val="auto"/>
                <w:kern w:val="0"/>
                <w:sz w:val="20"/>
                <w:szCs w:val="20"/>
                <w:lang w:val="ru-RU" w:eastAsia="en-US" w:bidi="ar-SA"/>
              </w:rPr>
              <w:t>Не более 10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 % от начальной цены продажи —</w:t>
            </w:r>
            <w:r>
              <w:rPr>
                <w:rFonts w:eastAsia="Calibri" w:cs="Times New Roman" w:ascii="Times New Roman" w:hAnsi="Times New Roman" w:eastAsiaTheme="minorHAnsi"/>
                <w:color w:val="auto"/>
                <w:kern w:val="0"/>
                <w:sz w:val="20"/>
                <w:szCs w:val="20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 w:eastAsiaTheme="minorHAnsi"/>
                <w:color w:val="auto"/>
                <w:kern w:val="0"/>
                <w:sz w:val="20"/>
                <w:szCs w:val="20"/>
                <w:lang w:val="ru-RU" w:eastAsia="en-US" w:bidi="ar-SA"/>
              </w:rPr>
              <w:t xml:space="preserve">18 262,96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руб.</w:t>
            </w:r>
          </w:p>
        </w:tc>
      </w:tr>
      <w:tr>
        <w:trPr/>
        <w:tc>
          <w:tcPr>
            <w:tcW w:w="62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bidi w:val="0"/>
              <w:spacing w:lineRule="auto" w:line="240" w:before="0" w:after="0"/>
              <w:ind w:hanging="624" w:start="624" w:end="624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60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Величина повышения начальной цены («шаг аукциона»)</w:t>
            </w:r>
          </w:p>
        </w:tc>
        <w:tc>
          <w:tcPr>
            <w:tcW w:w="697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Не более 50% от «шага понижения» -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9 131,48 </w:t>
            </w:r>
            <w:r>
              <w:rPr>
                <w:rFonts w:ascii="Times New Roman" w:hAnsi="Times New Roman"/>
                <w:sz w:val="20"/>
                <w:szCs w:val="20"/>
              </w:rPr>
              <w:t>руб.</w:t>
            </w:r>
          </w:p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фиксированная сумма, не изменяется в течение продажи.</w:t>
            </w:r>
          </w:p>
        </w:tc>
      </w:tr>
      <w:tr>
        <w:trPr/>
        <w:tc>
          <w:tcPr>
            <w:tcW w:w="62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bidi w:val="0"/>
              <w:spacing w:lineRule="auto" w:line="240" w:before="0" w:after="0"/>
              <w:ind w:hanging="624" w:start="624" w:end="624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60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Минимальная цена продажи («цена отсечения»)</w:t>
            </w:r>
          </w:p>
        </w:tc>
        <w:tc>
          <w:tcPr>
            <w:tcW w:w="697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Цена отсечения 50% начальной цены продажи — </w:t>
            </w:r>
            <w:r>
              <w:rPr>
                <w:rFonts w:ascii="Times New Roman" w:hAnsi="Times New Roman"/>
                <w:sz w:val="20"/>
                <w:szCs w:val="20"/>
              </w:rPr>
              <w:t>91 314,76</w:t>
            </w: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  <w:lang w:val="ru-RU" w:eastAsia="en-US" w:bidi="ar-SA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bidi w:val="0"/>
              <w:spacing w:lineRule="auto" w:line="240" w:before="0" w:after="0"/>
              <w:ind w:hanging="624" w:start="624" w:end="624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6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Условия и сроки платежа, необходимые реквизиты счетов</w:t>
            </w:r>
          </w:p>
        </w:tc>
        <w:tc>
          <w:tcPr>
            <w:tcW w:w="69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bookmarkStart w:id="0" w:name="sub_662"/>
            <w:r>
              <w:rPr>
                <w:rFonts w:eastAsia="" w:cs="Times New Roman" w:ascii="Times New Roman" w:hAnsi="Times New Roman" w:eastAsiaTheme="minorEastAsia"/>
                <w:sz w:val="20"/>
                <w:szCs w:val="20"/>
                <w:lang w:eastAsia="ru-RU"/>
              </w:rPr>
              <w:t xml:space="preserve">      </w:t>
            </w:r>
            <w:bookmarkStart w:id="1" w:name="sub_6621"/>
            <w:bookmarkEnd w:id="0"/>
            <w:r>
              <w:rPr>
                <w:rFonts w:eastAsia="" w:cs="Times New Roman" w:ascii="Times New Roman" w:hAnsi="Times New Roman" w:eastAsiaTheme="minorEastAsia"/>
                <w:sz w:val="20"/>
                <w:szCs w:val="20"/>
                <w:lang w:eastAsia="ru-RU"/>
              </w:rPr>
              <w:t>Денежные средства в счет оплаты государственного или муниципального имущества, подлежат перечислению победителем Балансодержателю в установленном порядке в бюджет соответствующего уровня бюджетной системы Российской Федерации в размере и сроки, которые указаны в договоре купли-продажи имущества, в течении 15 рабочих дней со дня заключения такого договора</w:t>
            </w:r>
            <w:bookmarkEnd w:id="1"/>
            <w:r>
              <w:rPr>
                <w:rFonts w:eastAsia="" w:cs="Times New Roman" w:ascii="Times New Roman" w:hAnsi="Times New Roman" w:eastAsiaTheme="minorEastAsia"/>
                <w:sz w:val="20"/>
                <w:szCs w:val="20"/>
                <w:lang w:eastAsia="ru-RU"/>
              </w:rPr>
              <w:t xml:space="preserve"> по </w:t>
            </w:r>
            <w:r>
              <w:rPr>
                <w:rFonts w:eastAsia="" w:cs="Times New Roman" w:ascii="Times New Roman" w:hAnsi="Times New Roman" w:eastAsiaTheme="minorEastAsia"/>
                <w:b/>
                <w:i/>
                <w:sz w:val="20"/>
                <w:szCs w:val="20"/>
                <w:lang w:eastAsia="ru-RU"/>
              </w:rPr>
              <w:t>платежным реквизитам Балансодержателя</w:t>
            </w:r>
            <w:r>
              <w:rPr>
                <w:rFonts w:eastAsia="" w:cs="Times New Roman" w:ascii="Times New Roman" w:hAnsi="Times New Roman"/>
                <w:color w:val="FF0000"/>
                <w:sz w:val="20"/>
                <w:szCs w:val="20"/>
                <w:lang w:eastAsia="ru-RU"/>
              </w:rPr>
              <w:t>.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bidi w:val="0"/>
              <w:spacing w:lineRule="auto" w:line="240" w:before="0" w:after="0"/>
              <w:ind w:hanging="624" w:start="624" w:end="624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6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Размер задатка, срок и порядок его внесения, необходимые реквизиты счетов</w:t>
            </w:r>
          </w:p>
        </w:tc>
        <w:tc>
          <w:tcPr>
            <w:tcW w:w="69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Cs/>
                <w:sz w:val="20"/>
                <w:szCs w:val="20"/>
              </w:rPr>
              <w:t xml:space="preserve">       </w:t>
            </w:r>
            <w:r>
              <w:rPr>
                <w:rFonts w:cs="Times New Roman" w:ascii="Times New Roman" w:hAnsi="Times New Roman"/>
                <w:bCs/>
                <w:sz w:val="20"/>
                <w:szCs w:val="20"/>
              </w:rPr>
              <w:t xml:space="preserve">10% от начальной цены реализации </w:t>
            </w:r>
            <w:r>
              <w:rPr>
                <w:rFonts w:cs="Times New Roman" w:ascii="Times New Roman" w:hAnsi="Times New Roman"/>
                <w:bCs/>
                <w:color w:val="000000"/>
                <w:sz w:val="20"/>
                <w:szCs w:val="20"/>
              </w:rPr>
              <w:t xml:space="preserve"> - </w:t>
            </w:r>
            <w:r>
              <w:rPr>
                <w:rFonts w:cs="Times New Roman" w:ascii="Times New Roman" w:hAnsi="Times New Roman"/>
                <w:bCs/>
                <w:color w:val="000000"/>
                <w:sz w:val="20"/>
                <w:szCs w:val="20"/>
              </w:rPr>
              <w:t>18 262,96</w:t>
            </w:r>
            <w:r>
              <w:rPr>
                <w:rFonts w:cs="Times New Roman" w:ascii="Times New Roman" w:hAnsi="Times New Roman"/>
                <w:bCs/>
                <w:color w:val="000000"/>
                <w:sz w:val="20"/>
                <w:szCs w:val="20"/>
              </w:rPr>
              <w:t xml:space="preserve"> руб.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Cs/>
                <w:sz w:val="20"/>
                <w:szCs w:val="20"/>
              </w:rPr>
              <w:t xml:space="preserve">Перечисление задатка претендентами на участие в аукционе претендент перечисляет в безналичном порядке денежные средства в валюте Российской Федерации на </w:t>
            </w:r>
            <w:r>
              <w:rPr>
                <w:rFonts w:eastAsia="Calibri" w:cs="Times New Roman" w:ascii="Times New Roman" w:hAnsi="Times New Roman" w:eastAsiaTheme="minorHAnsi"/>
                <w:bCs/>
                <w:color w:val="auto"/>
                <w:kern w:val="0"/>
                <w:sz w:val="20"/>
                <w:szCs w:val="20"/>
                <w:lang w:val="ru-RU" w:eastAsia="en-US" w:bidi="ar-SA"/>
              </w:rPr>
              <w:t>банковский счет Оператора электронной площадки</w:t>
            </w:r>
          </w:p>
          <w:p>
            <w:pPr>
              <w:pStyle w:val="Normal"/>
              <w:spacing w:lineRule="auto" w:line="240" w:before="0" w:after="0"/>
              <w:ind w:firstLine="567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iCs/>
                <w:sz w:val="20"/>
                <w:szCs w:val="20"/>
              </w:rPr>
              <w:t>Задаток </w:t>
            </w:r>
            <w:r>
              <w:rPr>
                <w:rFonts w:cs="Times New Roman" w:ascii="Times New Roman" w:hAnsi="Times New Roman"/>
                <w:bCs/>
                <w:iCs/>
                <w:sz w:val="20"/>
                <w:szCs w:val="20"/>
              </w:rPr>
              <w:t>должен быть перечислен на указанный счет не позднее </w:t>
            </w:r>
            <w:r>
              <w:rPr>
                <w:rFonts w:cs="Times New Roman" w:ascii="Times New Roman" w:hAnsi="Times New Roman"/>
                <w:b/>
                <w:bCs/>
                <w:iCs/>
                <w:sz w:val="20"/>
                <w:szCs w:val="20"/>
              </w:rPr>
              <w:t>«</w:t>
            </w:r>
            <w:r>
              <w:rPr>
                <w:rFonts w:eastAsia="Calibri" w:cs="Times New Roman" w:ascii="Times New Roman" w:hAnsi="Times New Roman" w:eastAsiaTheme="minorHAnsi"/>
                <w:b/>
                <w:bCs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04</w:t>
            </w:r>
            <w:r>
              <w:rPr>
                <w:rFonts w:cs="Times New Roman" w:ascii="Times New Roman" w:hAnsi="Times New Roman"/>
                <w:b/>
                <w:bCs/>
                <w:iCs/>
                <w:sz w:val="20"/>
                <w:szCs w:val="20"/>
              </w:rPr>
              <w:t xml:space="preserve">» декабря </w:t>
            </w:r>
            <w:r>
              <w:rPr>
                <w:rFonts w:eastAsia="Calibri" w:cs="Times New Roman" w:ascii="Times New Roman" w:hAnsi="Times New Roman" w:eastAsiaTheme="minorHAnsi"/>
                <w:b/>
                <w:color w:val="auto"/>
                <w:kern w:val="0"/>
                <w:sz w:val="20"/>
                <w:szCs w:val="20"/>
                <w:lang w:val="ru-RU" w:eastAsia="en-US" w:bidi="ar-SA"/>
              </w:rPr>
              <w:t>2026</w:t>
            </w: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 xml:space="preserve"> г.</w:t>
            </w:r>
          </w:p>
          <w:p>
            <w:pPr>
              <w:pStyle w:val="Normal"/>
              <w:tabs>
                <w:tab w:val="clear" w:pos="708"/>
                <w:tab w:val="left" w:pos="7740" w:leader="none"/>
              </w:tabs>
              <w:spacing w:lineRule="auto" w:line="240" w:before="0" w:after="0"/>
              <w:ind w:firstLine="600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Задаток перечисляется на счет продавца на основании публичной оферты.</w:t>
            </w:r>
          </w:p>
          <w:p>
            <w:pPr>
              <w:pStyle w:val="Normal"/>
              <w:tabs>
                <w:tab w:val="clear" w:pos="708"/>
                <w:tab w:val="left" w:pos="7740" w:leader="none"/>
              </w:tabs>
              <w:spacing w:lineRule="auto" w:line="240" w:before="0" w:after="0"/>
              <w:ind w:firstLine="600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Данное информационное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      </w:r>
          </w:p>
          <w:p>
            <w:pPr>
              <w:pStyle w:val="Normal"/>
              <w:tabs>
                <w:tab w:val="clear" w:pos="708"/>
                <w:tab w:val="left" w:pos="7740" w:leader="none"/>
              </w:tabs>
              <w:spacing w:lineRule="auto" w:line="240" w:before="0" w:after="0"/>
              <w:ind w:firstLine="600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Документом, подтверждающим поступление задатка на счет Продавца, является выписка со счета продавца.</w:t>
            </w:r>
          </w:p>
          <w:p>
            <w:pPr>
              <w:pStyle w:val="Normal"/>
              <w:tabs>
                <w:tab w:val="clear" w:pos="708"/>
                <w:tab w:val="left" w:pos="1260" w:leader="none"/>
                <w:tab w:val="left" w:pos="7740" w:leader="none"/>
              </w:tabs>
              <w:spacing w:lineRule="auto" w:line="240" w:before="0" w:after="0"/>
              <w:ind w:firstLine="600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Задаток вносится претендентом в качестве обеспечения исполнения обязательств по оплате высвобождаемого движимого военного имущества и, в случае признания претендента победителем аукциона, засчитывается в счет платежа, причитающегося с претендента в оплату за приобретаемое высвобождаемое движимое военное имущество.</w:t>
            </w:r>
          </w:p>
          <w:p>
            <w:pPr>
              <w:pStyle w:val="Normal"/>
              <w:tabs>
                <w:tab w:val="clear" w:pos="708"/>
                <w:tab w:val="left" w:pos="1260" w:leader="none"/>
                <w:tab w:val="left" w:pos="7740" w:leader="none"/>
              </w:tabs>
              <w:spacing w:lineRule="auto" w:line="240" w:before="0" w:after="0"/>
              <w:ind w:firstLine="600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 случае не поступления в указанный срок суммы задатка на счет продавца, что подтверждается соответствующей выпиской, обязательства претендента по внесению задатка считаются неисполненными, претендент к участию в аукционе не допускается.</w:t>
            </w:r>
          </w:p>
          <w:p>
            <w:pPr>
              <w:pStyle w:val="Normal"/>
              <w:tabs>
                <w:tab w:val="clear" w:pos="708"/>
                <w:tab w:val="left" w:pos="1260" w:leader="none"/>
                <w:tab w:val="left" w:pos="7740" w:leader="none"/>
              </w:tabs>
              <w:spacing w:lineRule="auto" w:line="240" w:before="0" w:after="0"/>
              <w:ind w:firstLine="600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Претендент не вправе распоряжаться денежными средствами, поступившими на счет Продавца в качестве задатка.</w:t>
            </w:r>
          </w:p>
          <w:p>
            <w:pPr>
              <w:pStyle w:val="BodyText"/>
              <w:tabs>
                <w:tab w:val="clear" w:pos="708"/>
                <w:tab w:val="left" w:pos="1260" w:leader="none"/>
                <w:tab w:val="left" w:pos="7740" w:leader="none"/>
              </w:tabs>
              <w:ind w:firstLine="6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денежные средства, перечисленные претендентом в качестве задатка, проценты не начисляются.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Возврат денежных средств осуществляется на счет претендента, указанный в заявке.</w:t>
            </w:r>
          </w:p>
          <w:p>
            <w:pPr>
              <w:pStyle w:val="Normal"/>
              <w:tabs>
                <w:tab w:val="clear" w:pos="708"/>
                <w:tab w:val="left" w:pos="7740" w:leader="none"/>
              </w:tabs>
              <w:spacing w:lineRule="auto" w:line="240" w:before="0" w:after="0"/>
              <w:ind w:firstLine="600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  <w:u w:val="single"/>
              </w:rPr>
              <w:t>Задаток возвращается претенденту в следующих случаях и порядке:</w:t>
            </w:r>
          </w:p>
          <w:p>
            <w:pPr>
              <w:pStyle w:val="Normal"/>
              <w:tabs>
                <w:tab w:val="clear" w:pos="708"/>
                <w:tab w:val="left" w:pos="1260" w:leader="none"/>
                <w:tab w:val="left" w:pos="7740" w:leader="none"/>
                <w:tab w:val="left" w:pos="9072" w:leader="none"/>
              </w:tabs>
              <w:spacing w:lineRule="auto" w:line="240" w:before="0" w:after="0"/>
              <w:ind w:firstLine="709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 в случае если претенденту было отказано в приеме заявки на участие в аукционе, продавец обязуется возвратить сумму задатка на счет претендента, указанный в заявке, в течение 5 (пяти) дней с даты отказа в принятии заявки, проставленной продавцом на описи представленных претендентом документов;</w:t>
            </w:r>
          </w:p>
          <w:p>
            <w:pPr>
              <w:pStyle w:val="Normal"/>
              <w:tabs>
                <w:tab w:val="clear" w:pos="708"/>
                <w:tab w:val="left" w:pos="1260" w:leader="none"/>
                <w:tab w:val="left" w:pos="7740" w:leader="none"/>
                <w:tab w:val="left" w:pos="9072" w:leader="none"/>
              </w:tabs>
              <w:spacing w:lineRule="auto" w:line="240" w:before="0" w:after="0"/>
              <w:ind w:firstLine="709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 в случае если претендент не допущен к участию в аукционе, продавец обязуется возвратить сумму задатка на счет претендента, указанный в заявке, в течение 5 (пяти) дней со дня подписания протокола о признании претендентов участниками аукциона;</w:t>
            </w:r>
          </w:p>
          <w:p>
            <w:pPr>
              <w:pStyle w:val="Normal"/>
              <w:tabs>
                <w:tab w:val="clear" w:pos="708"/>
                <w:tab w:val="left" w:pos="1260" w:leader="none"/>
                <w:tab w:val="left" w:pos="7740" w:leader="none"/>
                <w:tab w:val="left" w:pos="9072" w:leader="none"/>
              </w:tabs>
              <w:spacing w:lineRule="auto" w:line="240" w:before="0" w:after="0"/>
              <w:ind w:firstLine="709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 в случае если участник не признан победителем аукциона, продавец обязуется возвратить сумму задатка на счет, указанный в заявке, в течение 5 (пяти) дней с даты подведения итогов аукциона;</w:t>
            </w:r>
          </w:p>
          <w:p>
            <w:pPr>
              <w:pStyle w:val="Normal"/>
              <w:tabs>
                <w:tab w:val="clear" w:pos="708"/>
                <w:tab w:val="left" w:pos="1260" w:leader="none"/>
                <w:tab w:val="left" w:pos="7740" w:leader="none"/>
              </w:tabs>
              <w:spacing w:lineRule="auto" w:line="240" w:before="0" w:after="0"/>
              <w:ind w:firstLine="709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 в случае отзыва претендентом в установленном порядке заявки на участие в аукционе до даты окончания приема заявок продавец обязуется возвратить сумму задатка на счет претендента, указанный в заявке, в течение 5 (пяти) дней с даты получения продавцом от претендента письменного уведомления об отзыве заявки. Если заявка отозвана претендентом позднее даты окончания приема заявок, задаток возвращается в течение 5 (пяти) дней с даты подведения итогов аукциона;</w:t>
            </w:r>
          </w:p>
          <w:p>
            <w:pPr>
              <w:pStyle w:val="Normal"/>
              <w:tabs>
                <w:tab w:val="clear" w:pos="708"/>
                <w:tab w:val="left" w:pos="1260" w:leader="none"/>
                <w:tab w:val="left" w:pos="7740" w:leader="none"/>
                <w:tab w:val="left" w:pos="9072" w:leader="none"/>
              </w:tabs>
              <w:spacing w:lineRule="auto" w:line="240" w:before="0" w:after="0"/>
              <w:ind w:firstLine="709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- в случае признания аукциона несостоявшимся, продавец обязуется возвратить сумму задатка на счет участника, указанный в заявке, в течение 5 (пяти) дней с даты подведения итогов аукциона;</w:t>
            </w:r>
          </w:p>
          <w:p>
            <w:pPr>
              <w:pStyle w:val="Normal"/>
              <w:tabs>
                <w:tab w:val="clear" w:pos="708"/>
                <w:tab w:val="left" w:pos="1260" w:leader="none"/>
                <w:tab w:val="left" w:pos="7740" w:leader="none"/>
                <w:tab w:val="left" w:pos="9072" w:leader="none"/>
              </w:tabs>
              <w:spacing w:lineRule="auto" w:line="240" w:before="0" w:after="0"/>
              <w:ind w:firstLine="709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 в случае отмены проведения аукциона, продавец в течение 5 (пяти) дней с даты опубликования об этом информационного сообщения возвращает участнику сумму задатка на счет, указанный в заявке;</w:t>
            </w:r>
          </w:p>
          <w:p>
            <w:pPr>
              <w:pStyle w:val="Normal"/>
              <w:tabs>
                <w:tab w:val="clear" w:pos="708"/>
                <w:tab w:val="left" w:pos="1260" w:leader="none"/>
                <w:tab w:val="left" w:pos="7740" w:leader="none"/>
                <w:tab w:val="left" w:pos="9072" w:leader="none"/>
              </w:tabs>
              <w:spacing w:lineRule="auto" w:line="240" w:before="0" w:after="0"/>
              <w:ind w:firstLine="709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 продавец освобождается от ответственности за несвоевременное перечисление суммы задатка на счет Претендента, если претендент предоставил недостоверные и (или) неполные сведения о своих реквизитах в заявке.</w:t>
            </w:r>
          </w:p>
          <w:p>
            <w:pPr>
              <w:pStyle w:val="Normal"/>
              <w:tabs>
                <w:tab w:val="clear" w:pos="708"/>
                <w:tab w:val="left" w:pos="1260" w:leader="none"/>
                <w:tab w:val="left" w:pos="7740" w:leader="none"/>
                <w:tab w:val="left" w:pos="9072" w:leader="none"/>
              </w:tabs>
              <w:spacing w:lineRule="auto" w:line="240" w:before="0" w:after="0"/>
              <w:ind w:firstLine="600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  <w:u w:val="single"/>
              </w:rPr>
              <w:t>Задаток не возвращается в следующих случаях:</w:t>
            </w:r>
          </w:p>
          <w:p>
            <w:pPr>
              <w:pStyle w:val="Normal"/>
              <w:spacing w:lineRule="auto" w:line="240" w:before="0" w:after="0"/>
              <w:ind w:firstLine="709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 если участник, признанный победителем аукциона, уклоняется или отказывается от заключения договора купли-продажи в установленный срок, в том числе, в случае непредставления таким участником документов, подтверждающих его право быть покупателем имущества (если заключение договора купли-продажи высвобождаемого движимого военного имущества являлось для участников аукциона лицензируемым видом деятельности, осуществление которого в силу действующего законодательства возможно только при наличии соответствующей лицензии;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bidi w:val="0"/>
              <w:spacing w:lineRule="auto" w:line="240" w:before="0" w:after="0"/>
              <w:ind w:hanging="624" w:start="624" w:end="624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6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Порядок, место, даты начала и окончания подачи заявок на участие в продаже, рассмотрение заявок, признание претендентами участников торгов Порядок разъяснения запросов.</w:t>
            </w:r>
          </w:p>
        </w:tc>
        <w:tc>
          <w:tcPr>
            <w:tcW w:w="69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eastAsia="" w:cs="Times New Roman CYR" w:ascii="Times New Roman CYR" w:hAnsi="Times New Roman CYR" w:eastAsiaTheme="minorEastAsia"/>
                <w:sz w:val="20"/>
                <w:szCs w:val="20"/>
                <w:lang w:eastAsia="ru-RU"/>
              </w:rPr>
              <w:t xml:space="preserve">     </w:t>
            </w:r>
            <w:r>
              <w:rPr>
                <w:rFonts w:eastAsia="" w:cs="Times New Roman" w:ascii="Times New Roman" w:hAnsi="Times New Roman" w:eastAsiaTheme="minorEastAsia"/>
                <w:sz w:val="20"/>
                <w:szCs w:val="20"/>
                <w:lang w:eastAsia="ru-RU"/>
              </w:rPr>
              <w:t xml:space="preserve">Торговая площадка 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АО «Единая электронная торговая площадка» (сокращенно АО «ЕЭТП» или «Росэлторг»). Сайт.</w:t>
            </w:r>
            <w:hyperlink r:id="rId2">
              <w:r>
                <w:rPr>
                  <w:rStyle w:val="Style7"/>
                  <w:rFonts w:eastAsia="Times New Roman" w:cs="Times New Roman" w:ascii="Times New Roman" w:hAnsi="Times New Roman"/>
                  <w:sz w:val="20"/>
                  <w:szCs w:val="20"/>
                  <w:u w:val="single"/>
                  <w:lang w:eastAsia="ru-RU"/>
                </w:rPr>
                <w:t>https://</w:t>
              </w:r>
              <w:r>
                <w:rPr>
                  <w:rStyle w:val="Style7"/>
                  <w:rFonts w:eastAsia="Times New Roman" w:cs="Times New Roman" w:ascii="Times New Roman" w:hAnsi="Times New Roman"/>
                  <w:sz w:val="20"/>
                  <w:szCs w:val="20"/>
                  <w:u w:val="single"/>
                  <w:lang w:val="en-US" w:eastAsia="ru-RU"/>
                </w:rPr>
                <w:t>www</w:t>
              </w:r>
              <w:r>
                <w:rPr>
                  <w:rStyle w:val="Style7"/>
                  <w:rFonts w:eastAsia="Times New Roman" w:cs="Times New Roman" w:ascii="Times New Roman" w:hAnsi="Times New Roman"/>
                  <w:sz w:val="20"/>
                  <w:szCs w:val="20"/>
                  <w:u w:val="single"/>
                  <w:lang w:eastAsia="ru-RU"/>
                </w:rPr>
                <w:t>.roseltorg.ru</w:t>
              </w:r>
            </w:hyperlink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" w:cs="Times New Roman CYR" w:ascii="Times New Roman CYR" w:hAnsi="Times New Roman CYR" w:eastAsiaTheme="minorEastAsia"/>
                <w:sz w:val="20"/>
                <w:szCs w:val="20"/>
                <w:lang w:eastAsia="ru-RU"/>
              </w:rPr>
              <w:t>Одно лицо имеет право подать только одну заявку.</w:t>
            </w:r>
          </w:p>
          <w:p>
            <w:pPr>
              <w:pStyle w:val="Normal"/>
              <w:spacing w:lineRule="auto" w:line="240" w:before="0" w:after="0"/>
              <w:ind w:firstLine="600" w:end="-2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 xml:space="preserve">Дата начала приема заявок на участие в продаже посредством публичного предложения – </w:t>
            </w:r>
            <w:r>
              <w:rPr>
                <w:rFonts w:cs="Times New Roman" w:ascii="Times New Roman" w:hAnsi="Times New Roman"/>
                <w:b/>
                <w:bCs/>
                <w:iCs/>
                <w:sz w:val="20"/>
                <w:szCs w:val="20"/>
              </w:rPr>
              <w:t>«</w:t>
            </w:r>
            <w:r>
              <w:rPr>
                <w:rFonts w:eastAsia="Calibri" w:cs="Times New Roman" w:ascii="Times New Roman" w:hAnsi="Times New Roman" w:eastAsiaTheme="minorHAnsi"/>
                <w:b/>
                <w:bCs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12</w:t>
            </w:r>
            <w:r>
              <w:rPr>
                <w:rFonts w:cs="Times New Roman" w:ascii="Times New Roman" w:hAnsi="Times New Roman"/>
                <w:b/>
                <w:bCs/>
                <w:iCs/>
                <w:sz w:val="20"/>
                <w:szCs w:val="20"/>
              </w:rPr>
              <w:t xml:space="preserve">» </w:t>
            </w:r>
            <w:r>
              <w:rPr>
                <w:rFonts w:eastAsia="Calibri" w:cs="Times New Roman" w:ascii="Times New Roman" w:hAnsi="Times New Roman" w:eastAsiaTheme="minorHAnsi"/>
                <w:b/>
                <w:bCs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октября</w:t>
            </w:r>
            <w:r>
              <w:rPr>
                <w:rFonts w:cs="Times New Roman" w:ascii="Times New Roman" w:hAnsi="Times New Roman"/>
                <w:b/>
                <w:bCs/>
                <w:iCs/>
                <w:sz w:val="20"/>
                <w:szCs w:val="20"/>
              </w:rPr>
              <w:t xml:space="preserve"> </w:t>
            </w:r>
            <w:r>
              <w:rPr>
                <w:rFonts w:eastAsia="Calibri" w:cs="Times New Roman" w:ascii="Times New Roman" w:hAnsi="Times New Roman" w:eastAsiaTheme="minorHAnsi"/>
                <w:b/>
                <w:color w:val="auto"/>
                <w:kern w:val="0"/>
                <w:sz w:val="20"/>
                <w:szCs w:val="20"/>
                <w:lang w:val="ru-RU" w:eastAsia="en-US" w:bidi="ar-SA"/>
              </w:rPr>
              <w:t>2026</w:t>
            </w: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 xml:space="preserve"> г.</w:t>
            </w:r>
          </w:p>
          <w:p>
            <w:pPr>
              <w:pStyle w:val="Normal"/>
              <w:spacing w:lineRule="auto" w:line="240" w:before="0" w:after="0"/>
              <w:ind w:firstLine="600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 xml:space="preserve">Дата окончания приема заявок на участие в продаже посредством публичного предложения – </w:t>
            </w:r>
            <w:r>
              <w:rPr>
                <w:rFonts w:cs="Times New Roman" w:ascii="Times New Roman" w:hAnsi="Times New Roman"/>
                <w:b/>
                <w:bCs/>
                <w:iCs/>
                <w:sz w:val="20"/>
                <w:szCs w:val="20"/>
              </w:rPr>
              <w:t>«</w:t>
            </w:r>
            <w:r>
              <w:rPr>
                <w:rFonts w:eastAsia="Calibri" w:cs="Times New Roman" w:ascii="Times New Roman" w:hAnsi="Times New Roman" w:eastAsiaTheme="minorHAnsi"/>
                <w:b/>
                <w:bCs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07</w:t>
            </w:r>
            <w:r>
              <w:rPr>
                <w:rFonts w:cs="Times New Roman" w:ascii="Times New Roman" w:hAnsi="Times New Roman"/>
                <w:b/>
                <w:bCs/>
                <w:iCs/>
                <w:sz w:val="20"/>
                <w:szCs w:val="20"/>
              </w:rPr>
              <w:t xml:space="preserve">» </w:t>
            </w:r>
            <w:r>
              <w:rPr>
                <w:rFonts w:eastAsia="Calibri" w:cs="Times New Roman" w:ascii="Times New Roman" w:hAnsi="Times New Roman" w:eastAsiaTheme="minorHAnsi"/>
                <w:b/>
                <w:bCs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декабря</w:t>
            </w:r>
            <w:r>
              <w:rPr>
                <w:rFonts w:cs="Times New Roman" w:ascii="Times New Roman" w:hAnsi="Times New Roman"/>
                <w:b/>
                <w:bCs/>
                <w:iCs/>
                <w:sz w:val="20"/>
                <w:szCs w:val="20"/>
              </w:rPr>
              <w:t xml:space="preserve"> </w:t>
            </w:r>
            <w:r>
              <w:rPr>
                <w:rFonts w:eastAsia="Calibri" w:cs="Times New Roman" w:ascii="Times New Roman" w:hAnsi="Times New Roman" w:eastAsiaTheme="minorHAnsi"/>
                <w:b/>
                <w:color w:val="auto"/>
                <w:kern w:val="0"/>
                <w:sz w:val="20"/>
                <w:szCs w:val="20"/>
                <w:lang w:val="ru-RU" w:eastAsia="en-US" w:bidi="ar-SA"/>
              </w:rPr>
              <w:t>2026</w:t>
            </w: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 xml:space="preserve"> г.</w:t>
            </w:r>
          </w:p>
          <w:p>
            <w:pPr>
              <w:pStyle w:val="HTMLPreformatted"/>
              <w:ind w:firstLine="54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color w:val="auto"/>
                <w:kern w:val="0"/>
                <w:sz w:val="20"/>
                <w:szCs w:val="20"/>
                <w:lang w:val="ru-RU" w:eastAsia="ru-RU" w:bidi="ar-SA"/>
              </w:rPr>
              <w:t>признание претендентов участниками торгов -</w:t>
            </w:r>
            <w:r>
              <w:rPr>
                <w:rFonts w:cs="Times New Roman" w:ascii="Times New Roman" w:hAnsi="Times New Roman"/>
                <w:b/>
                <w:bCs/>
                <w:iCs/>
                <w:sz w:val="20"/>
                <w:szCs w:val="20"/>
              </w:rPr>
              <w:t xml:space="preserve"> «</w:t>
            </w:r>
            <w:r>
              <w:rPr>
                <w:rFonts w:eastAsia="Times New Roman" w:cs="Times New Roman" w:ascii="Times New Roman" w:hAnsi="Times New Roman"/>
                <w:b/>
                <w:bCs/>
                <w:iCs/>
                <w:color w:val="auto"/>
                <w:kern w:val="0"/>
                <w:sz w:val="20"/>
                <w:szCs w:val="20"/>
                <w:lang w:val="ru-RU" w:eastAsia="ru-RU" w:bidi="ar-SA"/>
              </w:rPr>
              <w:t>09</w:t>
            </w:r>
            <w:r>
              <w:rPr>
                <w:rFonts w:cs="Times New Roman" w:ascii="Times New Roman" w:hAnsi="Times New Roman"/>
                <w:b/>
                <w:bCs/>
                <w:iCs/>
                <w:sz w:val="20"/>
                <w:szCs w:val="20"/>
              </w:rPr>
              <w:t xml:space="preserve">» </w:t>
            </w:r>
            <w:r>
              <w:rPr>
                <w:rFonts w:eastAsia="Times New Roman" w:cs="Times New Roman" w:ascii="Times New Roman" w:hAnsi="Times New Roman"/>
                <w:b/>
                <w:bCs/>
                <w:iCs/>
                <w:color w:val="auto"/>
                <w:kern w:val="0"/>
                <w:sz w:val="20"/>
                <w:szCs w:val="20"/>
                <w:lang w:val="ru-RU" w:eastAsia="ru-RU" w:bidi="ar-SA"/>
              </w:rPr>
              <w:t>декабря</w:t>
            </w:r>
            <w:r>
              <w:rPr>
                <w:rFonts w:cs="Times New Roman" w:ascii="Times New Roman" w:hAnsi="Times New Roman"/>
                <w:b/>
                <w:bCs/>
                <w:iCs/>
                <w:sz w:val="20"/>
                <w:szCs w:val="20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/>
                <w:bCs/>
                <w:iCs/>
                <w:color w:val="auto"/>
                <w:kern w:val="0"/>
                <w:sz w:val="20"/>
                <w:szCs w:val="20"/>
                <w:lang w:val="ru-RU" w:eastAsia="ru-RU" w:bidi="ar-SA"/>
              </w:rPr>
              <w:t>2026</w:t>
            </w:r>
            <w:r>
              <w:rPr>
                <w:rFonts w:cs="Times New Roman" w:ascii="Times New Roman" w:hAnsi="Times New Roman"/>
                <w:b/>
                <w:bCs/>
                <w:iCs/>
                <w:sz w:val="20"/>
                <w:szCs w:val="20"/>
              </w:rPr>
              <w:t xml:space="preserve"> г.</w:t>
            </w:r>
          </w:p>
        </w:tc>
      </w:tr>
      <w:tr>
        <w:trPr>
          <w:trHeight w:val="791" w:hRule="atLeast"/>
        </w:trPr>
        <w:tc>
          <w:tcPr>
            <w:tcW w:w="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bidi w:val="0"/>
              <w:spacing w:lineRule="auto" w:line="240" w:before="0" w:after="0"/>
              <w:ind w:hanging="624" w:start="624" w:end="624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6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Дата, время и место проведения аукциона</w:t>
            </w:r>
          </w:p>
        </w:tc>
        <w:tc>
          <w:tcPr>
            <w:tcW w:w="69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HTMLPreformatted"/>
              <w:ind w:firstLine="540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 xml:space="preserve">Проведение </w:t>
            </w:r>
            <w:r>
              <w:rPr>
                <w:rFonts w:eastAsia="Times New Roman" w:cs="Times New Roman" w:ascii="Times New Roman" w:hAnsi="Times New Roman"/>
                <w:b/>
                <w:color w:val="auto"/>
                <w:kern w:val="0"/>
                <w:sz w:val="20"/>
                <w:szCs w:val="20"/>
                <w:lang w:val="ru-RU" w:eastAsia="ru-RU" w:bidi="ar-SA"/>
              </w:rPr>
              <w:t>торгов</w:t>
            </w: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cs="Times New Roman" w:ascii="Times New Roman" w:hAnsi="Times New Roman"/>
                <w:b/>
                <w:bCs/>
                <w:iCs/>
                <w:sz w:val="20"/>
                <w:szCs w:val="20"/>
              </w:rPr>
              <w:t xml:space="preserve"> - «1</w:t>
            </w:r>
            <w:r>
              <w:rPr>
                <w:rFonts w:eastAsia="Times New Roman" w:cs="Times New Roman" w:ascii="Times New Roman" w:hAnsi="Times New Roman"/>
                <w:b/>
                <w:bCs/>
                <w:iCs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  <w:r>
              <w:rPr>
                <w:rFonts w:cs="Times New Roman" w:ascii="Times New Roman" w:hAnsi="Times New Roman"/>
                <w:b/>
                <w:bCs/>
                <w:iCs/>
                <w:sz w:val="20"/>
                <w:szCs w:val="20"/>
              </w:rPr>
              <w:t>» дека</w:t>
            </w:r>
            <w:r>
              <w:rPr>
                <w:rFonts w:eastAsia="Times New Roman" w:cs="Times New Roman" w:ascii="Times New Roman" w:hAnsi="Times New Roman"/>
                <w:b/>
                <w:bCs/>
                <w:iCs/>
                <w:color w:val="auto"/>
                <w:kern w:val="0"/>
                <w:sz w:val="20"/>
                <w:szCs w:val="20"/>
                <w:lang w:val="ru-RU" w:eastAsia="ru-RU" w:bidi="ar-SA"/>
              </w:rPr>
              <w:t>бря</w:t>
            </w:r>
            <w:r>
              <w:rPr>
                <w:rFonts w:cs="Times New Roman" w:ascii="Times New Roman" w:hAnsi="Times New Roman"/>
                <w:b/>
                <w:bCs/>
                <w:iCs/>
                <w:sz w:val="20"/>
                <w:szCs w:val="20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/>
                <w:color w:val="auto"/>
                <w:kern w:val="0"/>
                <w:sz w:val="20"/>
                <w:szCs w:val="20"/>
                <w:lang w:val="ru-RU" w:eastAsia="ru-RU" w:bidi="ar-SA"/>
              </w:rPr>
              <w:t>2026</w:t>
            </w: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 xml:space="preserve"> г. в 12 ч. 00 мин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.</w:t>
            </w:r>
          </w:p>
          <w:p>
            <w:pPr>
              <w:pStyle w:val="HTMLPreformatted"/>
              <w:jc w:val="both"/>
              <w:rPr/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АО «ЕЭТП» или «Росэлторг») </w:t>
            </w:r>
            <w:hyperlink r:id="rId3">
              <w:r>
                <w:rPr>
                  <w:rStyle w:val="Style7"/>
                  <w:rFonts w:cs="Times New Roman" w:ascii="Times New Roman" w:hAnsi="Times New Roman"/>
                  <w:color w:val="0000FF"/>
                  <w:sz w:val="20"/>
                  <w:szCs w:val="20"/>
                  <w:u w:val="single"/>
                </w:rPr>
                <w:t>https://</w:t>
              </w:r>
              <w:r>
                <w:rPr>
                  <w:rStyle w:val="Style7"/>
                  <w:rFonts w:cs="Times New Roman" w:ascii="Times New Roman" w:hAnsi="Times New Roman"/>
                  <w:color w:val="0000FF"/>
                  <w:sz w:val="20"/>
                  <w:szCs w:val="20"/>
                  <w:u w:val="single"/>
                  <w:lang w:val="en-US"/>
                </w:rPr>
                <w:t>www</w:t>
              </w:r>
              <w:r>
                <w:rPr>
                  <w:rStyle w:val="Style7"/>
                  <w:rFonts w:cs="Times New Roman" w:ascii="Times New Roman" w:hAnsi="Times New Roman"/>
                  <w:color w:val="0000FF"/>
                  <w:sz w:val="20"/>
                  <w:szCs w:val="20"/>
                  <w:u w:val="single"/>
                </w:rPr>
                <w:t>.roseltorg.ru</w:t>
              </w:r>
            </w:hyperlink>
            <w:r>
              <w:rPr>
                <w:rFonts w:cs="Times New Roman" w:ascii="Times New Roman" w:hAnsi="Times New Roman"/>
                <w:sz w:val="20"/>
                <w:szCs w:val="20"/>
              </w:rPr>
              <w:t>.</w:t>
            </w:r>
          </w:p>
          <w:p>
            <w:pPr>
              <w:pStyle w:val="HTMLPreformatted"/>
              <w:ind w:firstLine="540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iCs/>
                <w:sz w:val="20"/>
                <w:szCs w:val="20"/>
              </w:rPr>
              <w:t>Подведение итогов – в день проведения торгов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bidi w:val="0"/>
              <w:spacing w:lineRule="auto" w:line="240" w:before="0" w:after="0"/>
              <w:ind w:hanging="624" w:start="624" w:end="624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6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Исчерпывающий перечень представляемых участниками торгов документов и требования к их оформлению</w:t>
            </w:r>
          </w:p>
        </w:tc>
        <w:tc>
          <w:tcPr>
            <w:tcW w:w="69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40" w:before="0" w:after="0"/>
              <w:ind w:firstLine="510" w:start="0" w:end="0"/>
              <w:jc w:val="both"/>
              <w:rPr/>
            </w:pPr>
            <w:r>
              <w:rPr>
                <w:rFonts w:eastAsia="Times New Roman" w:cs="Times New Roman" w:ascii="Times New Roman" w:hAnsi="Times New Roman"/>
                <w:bCs/>
                <w:sz w:val="20"/>
                <w:szCs w:val="20"/>
                <w:lang w:eastAsia="ru-RU"/>
              </w:rPr>
              <w:t>Заявка (</w:t>
            </w:r>
            <w:r>
              <w:rPr>
                <w:rFonts w:eastAsia="Times New Roman" w:cs="Times New Roman" w:ascii="Times New Roman" w:hAnsi="Times New Roman"/>
                <w:bCs/>
                <w:sz w:val="20"/>
                <w:szCs w:val="20"/>
                <w:shd w:fill="FFFFFF" w:val="clear"/>
                <w:lang w:eastAsia="ru-RU"/>
              </w:rPr>
              <w:t>приложение № 2,3</w:t>
            </w:r>
            <w:r>
              <w:rPr>
                <w:rFonts w:eastAsia="Times New Roman" w:cs="Times New Roman" w:ascii="Times New Roman" w:hAnsi="Times New Roman"/>
                <w:bCs/>
                <w:sz w:val="20"/>
                <w:szCs w:val="20"/>
                <w:lang w:eastAsia="ru-RU"/>
              </w:rPr>
              <w:t xml:space="preserve">) подается путем заполнения ее электронной формы, размещенной в открытой для доступа неограниченного круга лиц части электронной площадки (далее - открытая часть электронной площадки), с приложением электронных образов документов, предусмотренных Федеральным </w:t>
            </w:r>
            <w:hyperlink r:id="rId4">
              <w:r>
                <w:rPr>
                  <w:rStyle w:val="Style7"/>
                  <w:rFonts w:eastAsia="Times New Roman" w:cs="Times New Roman" w:ascii="Times New Roman" w:hAnsi="Times New Roman"/>
                  <w:bCs/>
                  <w:sz w:val="20"/>
                  <w:szCs w:val="20"/>
                  <w:lang w:eastAsia="ru-RU"/>
                </w:rPr>
                <w:t>законом</w:t>
              </w:r>
            </w:hyperlink>
            <w:r>
              <w:rPr>
                <w:rFonts w:eastAsia="Times New Roman" w:cs="Times New Roman" w:ascii="Times New Roman" w:hAnsi="Times New Roman"/>
                <w:bCs/>
                <w:sz w:val="20"/>
                <w:szCs w:val="20"/>
                <w:lang w:eastAsia="ru-RU"/>
              </w:rPr>
              <w:t xml:space="preserve">  </w:t>
              <w:br/>
              <w:t>от 21 декабря 2001 г. № 178-ФЗ «О приватизации государственного и муниципального имущества».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firstLine="397" w:start="0" w:end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Cs/>
                <w:sz w:val="20"/>
                <w:szCs w:val="20"/>
                <w:lang w:eastAsia="ru-RU"/>
              </w:rPr>
              <w:t>Одновременно с Заявкой на участие в продаже Претенденты представляют следующие документы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подписью.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firstLine="397" w:start="0" w:end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Cs/>
                <w:sz w:val="20"/>
                <w:szCs w:val="20"/>
                <w:lang w:eastAsia="ru-RU"/>
              </w:rPr>
              <w:t>Доверенность на лицо, имеющее право действовать от имени претендента, если заявка подается представителем претендента, оформленная в установленном порядке, или нотариально заверенная копия такой доверенности.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Cs/>
                <w:sz w:val="20"/>
                <w:szCs w:val="20"/>
                <w:lang w:eastAsia="ru-RU"/>
              </w:rPr>
              <w:t>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firstLine="567" w:start="0" w:end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u w:val="single"/>
                <w:lang w:eastAsia="ru-RU"/>
              </w:rPr>
              <w:t>Юридические лица</w:t>
            </w: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ru-RU"/>
              </w:rPr>
              <w:t>: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firstLine="567" w:start="0" w:end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Cs/>
                <w:sz w:val="20"/>
                <w:szCs w:val="20"/>
                <w:lang w:eastAsia="ru-RU"/>
              </w:rPr>
              <w:t>1) заверенные копии учредительных документов;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firstLine="567" w:start="0" w:end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Cs/>
                <w:sz w:val="20"/>
                <w:szCs w:val="20"/>
                <w:lang w:eastAsia="ru-RU"/>
              </w:rPr>
              <w:t>2) документ, который подтверждает полномочия руководителя юридического лица на осуществление действий от имени юридического лица (решение о назначении этого лица или об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firstLine="680" w:start="0" w:end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Cs/>
                <w:sz w:val="20"/>
                <w:szCs w:val="20"/>
                <w:lang w:eastAsia="ru-RU"/>
              </w:rPr>
              <w:t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и подписанное его руководителем письмо).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firstLine="680" w:start="0" w:end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Cs/>
                <w:sz w:val="20"/>
                <w:szCs w:val="20"/>
                <w:lang w:eastAsia="ru-RU"/>
              </w:rPr>
              <w:t>Физические лица, в том числе индивидуальные предприниматели предъявляют документ, удостоверяющий личность, или представляют копии всех его листов.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firstLine="680" w:start="0" w:end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Документы, представляемые иностранными лицами, должны быть легализованы в установленном порядке и иметь нотариально заверенный перевод на русский язык.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firstLine="680" w:start="0" w:end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Указанные документы (в том числе копии документов) в части их оформления, заверения и содержания должны соответствовать требованиям законодательства Российской Федерации и настоящего информационного сообщения.</w:t>
            </w:r>
          </w:p>
          <w:p>
            <w:pPr>
              <w:pStyle w:val="Normal"/>
              <w:spacing w:lineRule="auto" w:line="240" w:before="0" w:after="0"/>
              <w:ind w:firstLine="709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Cs/>
                <w:sz w:val="20"/>
                <w:szCs w:val="20"/>
                <w:lang w:eastAsia="ru-RU"/>
              </w:rPr>
              <w:t>Изменение заявки допускается только путем подачи претендентом новой заявки в сроки, установленные в сообщении о проведении продажи, при этом первоначальная заявка должна быть отозвана.</w:t>
            </w:r>
          </w:p>
          <w:p>
            <w:pPr>
              <w:pStyle w:val="Normal"/>
              <w:spacing w:lineRule="auto" w:line="240" w:before="0" w:after="0"/>
              <w:ind w:firstLine="600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  <w:u w:val="single"/>
              </w:rPr>
              <w:t>Физические лица: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представляют копии всех листов документа, удостоверяющего личность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 случае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Соблюдение претендентом указанных требований означает, что заявка и документы, представляемые одновременно с заявкой, поданы от имени претендента.</w:t>
            </w:r>
          </w:p>
          <w:p>
            <w:pPr>
              <w:pStyle w:val="Normal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ind w:firstLine="540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Соблюдение претендентом указанных требований означает, что заявка и документы, представляемые одновременно с заявкой, поданы от имени претендента.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/>
              <w:suppressAutoHyphens w:val="true"/>
              <w:bidi w:val="0"/>
              <w:spacing w:lineRule="auto" w:line="240" w:before="0" w:after="0"/>
              <w:ind w:hanging="0" w:start="0" w:end="0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13.</w:t>
            </w:r>
          </w:p>
        </w:tc>
        <w:tc>
          <w:tcPr>
            <w:tcW w:w="26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Основания для отказа претенденту участвовать в аукционе</w:t>
            </w:r>
          </w:p>
        </w:tc>
        <w:tc>
          <w:tcPr>
            <w:tcW w:w="69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2"/>
              <w:widowControl w:val="false"/>
              <w:spacing w:lineRule="auto" w:line="240" w:before="0" w:after="0"/>
              <w:ind w:firstLine="600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Претендент не допускается к участию в аукционе по следующим основаниям:</w:t>
            </w:r>
          </w:p>
          <w:p>
            <w:pPr>
              <w:pStyle w:val="ConsPlusNormal1"/>
              <w:widowControl/>
              <w:ind w:firstLine="709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 представленные документы не подтверждают право претендента быть покупателем в соответствии с законодательством Российской Федерации;</w:t>
            </w:r>
          </w:p>
          <w:p>
            <w:pPr>
              <w:pStyle w:val="ConsPlusNormal1"/>
              <w:widowControl/>
              <w:ind w:firstLine="709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-представлены не все документы в соответствии с перечнем, указанным в информационном сообщении (за исключением предложений о цене государственного или муниципального имущества на аукционе), или оформление указанных документов не соответствует законодательству Российской Федерации;</w:t>
            </w:r>
          </w:p>
          <w:p>
            <w:pPr>
              <w:pStyle w:val="ConsPlusNormal1"/>
              <w:widowControl/>
              <w:ind w:firstLine="709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 заявка подана лицом, не уполномоченным претендентом на осуществление таких действий;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 не подтверждено поступление в установленный срок задатка на счета, указанные в информационном сообщении.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/>
              <w:suppressAutoHyphens w:val="true"/>
              <w:bidi w:val="0"/>
              <w:spacing w:lineRule="auto" w:line="240" w:before="0" w:after="0"/>
              <w:ind w:hanging="0" w:start="0" w:end="0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14.</w:t>
            </w:r>
          </w:p>
        </w:tc>
        <w:tc>
          <w:tcPr>
            <w:tcW w:w="26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Срок заключения договора купли-продажи имущества</w:t>
            </w:r>
          </w:p>
        </w:tc>
        <w:tc>
          <w:tcPr>
            <w:tcW w:w="69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По результатам торгов продавец и победитель продажи посредством публичного предложения (покупатель) в </w:t>
            </w: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течение 5 рабочих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 дней со дня подведения итогов аукциона заключают в соответствии с </w:t>
            </w:r>
            <w:hyperlink r:id="rId5">
              <w:r>
                <w:rPr>
                  <w:rStyle w:val="Style7"/>
                  <w:rFonts w:ascii="Times New Roman" w:hAnsi="Times New Roman"/>
                  <w:sz w:val="20"/>
                  <w:szCs w:val="20"/>
                </w:rPr>
                <w:t>законодательством</w:t>
              </w:r>
            </w:hyperlink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 Российской Федерации договор купли-продажи имущества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/>
              <w:suppressAutoHyphens w:val="true"/>
              <w:bidi w:val="0"/>
              <w:spacing w:lineRule="auto" w:line="240" w:before="0" w:after="0"/>
              <w:ind w:hanging="0" w:start="0" w:end="0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15.</w:t>
            </w:r>
          </w:p>
        </w:tc>
        <w:tc>
          <w:tcPr>
            <w:tcW w:w="26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Порядок ознакомления покупателей с иной информацией, условиями договора купли-продажи имущества</w:t>
            </w:r>
          </w:p>
        </w:tc>
        <w:tc>
          <w:tcPr>
            <w:tcW w:w="69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Информация о проведении продаж посредством публичного предложения имущества размещается на официальном сайте Российской Федерации в сети «Интернет» </w:t>
            </w:r>
            <w:hyperlink r:id="rId6">
              <w:r>
                <w:rPr>
                  <w:rStyle w:val="Style7"/>
                  <w:rFonts w:eastAsia="Times New Roman" w:cs="Times New Roman" w:ascii="Times New Roman" w:hAnsi="Times New Roman"/>
                  <w:color w:val="0000FF"/>
                  <w:sz w:val="20"/>
                  <w:szCs w:val="20"/>
                  <w:u w:val="single"/>
                  <w:lang w:eastAsia="ru-RU"/>
                </w:rPr>
                <w:t>www.torgi.gov.ru</w:t>
              </w:r>
            </w:hyperlink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, на сайте электронной площадки </w:t>
            </w:r>
            <w:hyperlink r:id="rId7">
              <w:r>
                <w:rPr>
                  <w:rStyle w:val="Style7"/>
                  <w:rFonts w:eastAsia="Times New Roman" w:cs="Times New Roman" w:ascii="Times New Roman" w:hAnsi="Times New Roman"/>
                  <w:color w:val="0000FF"/>
                  <w:sz w:val="20"/>
                  <w:szCs w:val="20"/>
                  <w:u w:val="single"/>
                  <w:lang w:eastAsia="ru-RU"/>
                </w:rPr>
                <w:t>www.roseltorg.ru</w:t>
              </w:r>
            </w:hyperlink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С дополнительной информацией об участии в торгах,  по телефону: </w:t>
            </w:r>
            <w:r>
              <w:rPr>
                <w:rFonts w:eastAsia="Times New Roman" w:cs="TimesNewRomanPSMT" w:ascii="TimesNewRomanPSMT" w:hAnsi="TimesNewRomanPSMT"/>
                <w:b/>
                <w:sz w:val="20"/>
                <w:szCs w:val="20"/>
                <w:lang w:eastAsia="ru-RU"/>
              </w:rPr>
              <w:t xml:space="preserve"> +7(4212)34-04-</w:t>
            </w:r>
            <w:r>
              <w:rPr>
                <w:rFonts w:eastAsia="Calibri" w:cs="TimesNewRomanPSMT" w:ascii="TimesNewRomanPSMT" w:hAnsi="TimesNewRomanPSMT"/>
                <w:b/>
                <w:color w:val="auto"/>
                <w:kern w:val="0"/>
                <w:sz w:val="20"/>
                <w:szCs w:val="20"/>
                <w:lang w:val="ru-RU" w:eastAsia="en-US" w:bidi="ar-SA"/>
              </w:rPr>
              <w:t>86</w:t>
            </w:r>
            <w:r>
              <w:rPr>
                <w:rFonts w:eastAsia="Times New Roman" w:cs="TimesNewRomanPSMT" w:ascii="TimesNewRomanPSMT" w:hAnsi="TimesNewRomanPSMT"/>
                <w:b/>
                <w:sz w:val="20"/>
                <w:szCs w:val="20"/>
                <w:lang w:eastAsia="ru-RU"/>
              </w:rPr>
              <w:t>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bookmarkStart w:id="2" w:name="_GoBack"/>
            <w:bookmarkEnd w:id="2"/>
            <w:r>
              <w:rPr>
                <w:rFonts w:eastAsia="Times New Roman" w:cs="TimesNewRomanPSMT" w:ascii="Times New Roman" w:hAnsi="Times New Roman"/>
                <w:b/>
                <w:sz w:val="20"/>
                <w:szCs w:val="20"/>
                <w:shd w:fill="auto" w:val="clear"/>
                <w:lang w:eastAsia="ru-RU"/>
              </w:rPr>
              <w:t xml:space="preserve">Контактное лицо </w:t>
            </w:r>
            <w:r>
              <w:rPr>
                <w:rFonts w:eastAsia="Calibri" w:cs="TimesNewRomanPSMT" w:ascii="Times New Roman" w:hAnsi="Times New Roman"/>
                <w:b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Скачков Валентин Петрович 8-906-171-15-04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/>
              <w:suppressAutoHyphens w:val="true"/>
              <w:bidi w:val="0"/>
              <w:spacing w:lineRule="auto" w:line="240" w:before="0" w:after="0"/>
              <w:ind w:hanging="0" w:start="0" w:end="0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16.</w:t>
            </w:r>
          </w:p>
        </w:tc>
        <w:tc>
          <w:tcPr>
            <w:tcW w:w="26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Ограничения участия отдельных категорий физических лиц и юридических лиц в приватизации имущества</w:t>
            </w:r>
          </w:p>
        </w:tc>
        <w:tc>
          <w:tcPr>
            <w:tcW w:w="69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NewRoman" w:ascii="TimesNewRoman" w:hAnsi="TimesNewRoman"/>
                <w:color w:val="000000"/>
                <w:sz w:val="20"/>
                <w:szCs w:val="20"/>
                <w:lang w:eastAsia="ru-RU"/>
              </w:rPr>
              <w:t xml:space="preserve">Лица, отвечающие признакам покупателя в соответствии с Федеральным законом </w:t>
              <w:br/>
              <w:t>от 21 декабря 2001 г. № 178-ФЗ  и желающие приобрести федеральное имущество, выставляемое на продажу посредством публичного предложения, своевременно подавшие Заявку, представившие надлежащим образом оформленные документы и обеспечившие поступление задатка на счет, указанный в Информационном сообщении.</w:t>
            </w:r>
          </w:p>
          <w:p>
            <w:pPr>
              <w:pStyle w:val="Normal"/>
              <w:spacing w:lineRule="auto" w:line="240" w:before="0" w:after="0"/>
              <w:ind w:firstLine="72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 xml:space="preserve">Покупателями государственного имущества могут быть любые физические и юридические лица, за исключением 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случаев ограничения участия лиц, предусмотренных статьей 5 Федерального закона от 21 декабря 2001 г. № 178-ФЗ</w:t>
            </w: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: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государственных и муниципальных унитарных предприятий, государственных и муниципальных учреждений;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Федерального закона;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(далее - офшорные компании);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юридических лиц, в отношении которых офшорной компанией или группой лиц, в которую входит офшорная компания, осуществляется контроль.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/>
              <w:suppressAutoHyphens w:val="true"/>
              <w:bidi w:val="0"/>
              <w:spacing w:lineRule="auto" w:line="240" w:before="0" w:after="0"/>
              <w:ind w:hanging="0" w:start="0" w:end="0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17.</w:t>
            </w:r>
          </w:p>
        </w:tc>
        <w:tc>
          <w:tcPr>
            <w:tcW w:w="26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Порядок определения победителей при проведении аукциона</w:t>
            </w:r>
          </w:p>
        </w:tc>
        <w:tc>
          <w:tcPr>
            <w:tcW w:w="69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firstLine="624" w:start="0" w:end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Процедура продажи имущества проводится в день и во время, указанное в информационном сообщении о продаже имущества посредством публичного предложения, путем последовательного понижения цены первоначального предложения (цена имущества, указанная в информационном сообщении) на величину, равную величине «шага понижения», но не ниже цены отсечения.</w:t>
            </w:r>
          </w:p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firstLine="567" w:start="0" w:end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«Шаг понижения» устанавливается Продавцом в фиксированной сумме, составляющей не более 10 процентов цены первоначального предложения, и не изменяется в течение всей процедуры продажи имущества посредством публичного предложения.</w:t>
            </w:r>
          </w:p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firstLine="567" w:start="0" w:end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Время приема предложений участников о цене первоначального предложения составляет один час от времени начала проведения процедуры продажи имущества посредством публичного предложения и 10 минут на представление предложений о цене имущества на каждом «шаге понижения».</w:t>
            </w:r>
          </w:p>
          <w:p>
            <w:pPr>
              <w:pStyle w:val="Normal"/>
              <w:spacing w:lineRule="auto" w:line="240" w:before="0" w:after="0"/>
              <w:ind w:firstLine="851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Победителем признается участник, который подтвердил цену первоначального предложения или цену предложения, сложившуюся на соответствующем «шаге понижения», при отсутствии предложений других участников.</w:t>
            </w:r>
          </w:p>
          <w:p>
            <w:pPr>
              <w:pStyle w:val="Normal"/>
              <w:spacing w:lineRule="auto" w:line="240" w:before="0" w:after="0"/>
              <w:ind w:firstLine="851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В случае если несколько участников подтверждают цену первоначального предложения или цену предложения, сложившуюся на одном из «шагов понижения», со всеми участниками проводится аукцион в порядке, установленном разделом II Положения об организации и проведении продажи государственного или муниципального имущества в электронной форме (постановление Правительства Российской Федерации </w:t>
              <w:br/>
              <w:t>от 27 августа 2012 г. № 860 «Об организации и проведении продажи государственного или муниципального имущества в электронной форме»). Начальной ценой имущества на аукционе является соответственно цена первоначального предложения или цена предложения, сложившаяся на данном «шаге понижения». Время приема предложений участников о цене имущества составляет 10 минут. «Шаг аукциона» устанавливается Продавцом в фиксированной сумме, составляющей не более 50 процентов «шага понижения», и не изменяется в течение всей процедуры продажи имущества посредством публичного предложения.</w:t>
            </w:r>
          </w:p>
          <w:p>
            <w:pPr>
              <w:pStyle w:val="Normal"/>
              <w:spacing w:lineRule="auto" w:line="240" w:before="0" w:after="0"/>
              <w:ind w:firstLine="851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В случае если участники не заявляют предложения о цене, превышающей начальную цену имущества, победителем признается участник, который первым подтвердил начальную цену имущества.</w:t>
            </w:r>
          </w:p>
          <w:p>
            <w:pPr>
              <w:pStyle w:val="Normal"/>
              <w:spacing w:lineRule="auto" w:line="240" w:before="0" w:after="0"/>
              <w:ind w:firstLine="851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Ход проведения процедуры продажи имущества посредством публичного предложения фиксируется Организатором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продажи имущества посредством публичного предложения путем оформления протокола об итогах такой продажи.</w:t>
            </w:r>
          </w:p>
          <w:p>
            <w:pPr>
              <w:pStyle w:val="Normal"/>
              <w:spacing w:lineRule="auto" w:line="240" w:before="0" w:after="0"/>
              <w:ind w:firstLine="851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Протокол об итогах продажи имущества посредством публичного предложения, содержащий цену имущества, предложенную победителем, и удостоверяющий право победителя на заключение договора купли-продажи имущества, подписывается Продавцом в течение одного часа со времени получения от Организатора электронного журнала.</w:t>
            </w:r>
          </w:p>
          <w:p>
            <w:pPr>
              <w:pStyle w:val="Normal"/>
              <w:spacing w:lineRule="auto" w:line="240" w:before="0" w:after="0"/>
              <w:ind w:firstLine="851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Процедура продажи имущества посредством публичного предложения считается завершенной со времени подписания Продавцом протокола об итогах такой продажи.</w:t>
            </w:r>
          </w:p>
        </w:tc>
      </w:tr>
      <w:tr>
        <w:trPr/>
        <w:tc>
          <w:tcPr>
            <w:tcW w:w="62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/>
              <w:suppressAutoHyphens w:val="true"/>
              <w:bidi w:val="0"/>
              <w:spacing w:lineRule="auto" w:line="240" w:before="0" w:after="0"/>
              <w:ind w:hanging="0" w:start="0" w:end="0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18.</w:t>
            </w:r>
          </w:p>
        </w:tc>
        <w:tc>
          <w:tcPr>
            <w:tcW w:w="260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Сведения обо всех предыдущих торгах по продаже имущества.</w:t>
            </w:r>
          </w:p>
        </w:tc>
        <w:tc>
          <w:tcPr>
            <w:tcW w:w="697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Продажа путем проведения аукциона.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Извещение о продаже имущества № 2200005479000000052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2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 от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  <w:t>01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.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  <w:t>09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.2026 (аукцион признан не состоявшимся по основаниям отсутствия заявок на участие).</w:t>
            </w:r>
          </w:p>
        </w:tc>
      </w:tr>
    </w:tbl>
    <w:p>
      <w:pPr>
        <w:pStyle w:val="Normal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  <w:r>
        <w:br w:type="page"/>
      </w:r>
    </w:p>
    <w:p>
      <w:pPr>
        <w:pStyle w:val="Normal"/>
        <w:spacing w:before="0" w:after="200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Приложение № 1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Перечень высвобождаемого движимого военного имущества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tbl>
      <w:tblPr>
        <w:tblW w:w="9775" w:type="dxa"/>
        <w:jc w:val="start"/>
        <w:tblInd w:w="79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576"/>
        <w:gridCol w:w="3981"/>
        <w:gridCol w:w="1261"/>
        <w:gridCol w:w="1490"/>
        <w:gridCol w:w="2467"/>
      </w:tblGrid>
      <w:tr>
        <w:trPr>
          <w:tblHeader w:val="true"/>
          <w:trHeight w:val="1464" w:hRule="atLeast"/>
        </w:trPr>
        <w:tc>
          <w:tcPr>
            <w:tcW w:w="5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№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п/п</w:t>
            </w:r>
          </w:p>
        </w:tc>
        <w:tc>
          <w:tcPr>
            <w:tcW w:w="3981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Наименование имущества</w:t>
            </w:r>
          </w:p>
        </w:tc>
        <w:tc>
          <w:tcPr>
            <w:tcW w:w="1261" w:type="dxa"/>
            <w:tcBorders>
              <w:top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Ед. изм.</w:t>
            </w:r>
          </w:p>
        </w:tc>
        <w:tc>
          <w:tcPr>
            <w:tcW w:w="14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Кол-во</w:t>
            </w:r>
          </w:p>
        </w:tc>
        <w:tc>
          <w:tcPr>
            <w:tcW w:w="2467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Качественное состояние (техническое состояние, категория)</w:t>
            </w:r>
          </w:p>
        </w:tc>
      </w:tr>
      <w:tr>
        <w:trPr>
          <w:trHeight w:val="20" w:hRule="atLeast"/>
        </w:trPr>
        <w:tc>
          <w:tcPr>
            <w:tcW w:w="57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spacing w:before="0" w:after="200"/>
              <w:jc w:val="center"/>
              <w:rPr>
                <w:rFonts w:ascii="Tinos" w:hAnsi="Tinos"/>
                <w:color w:val="000000"/>
                <w:sz w:val="20"/>
                <w:szCs w:val="20"/>
              </w:rPr>
            </w:pPr>
            <w:r>
              <w:rPr>
                <w:rFonts w:ascii="Tinos" w:hAnsi="Tinos"/>
                <w:color w:val="000000"/>
                <w:sz w:val="20"/>
                <w:szCs w:val="20"/>
              </w:rPr>
              <w:t>1</w:t>
            </w:r>
          </w:p>
        </w:tc>
        <w:tc>
          <w:tcPr>
            <w:tcW w:w="3981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Style23"/>
              <w:spacing w:before="0" w:after="200"/>
              <w:jc w:val="start"/>
              <w:rPr>
                <w:rFonts w:ascii="Tinos" w:hAnsi="Tinos"/>
                <w:sz w:val="22"/>
                <w:szCs w:val="22"/>
              </w:rPr>
            </w:pPr>
            <w:r>
              <w:rPr>
                <w:rFonts w:ascii="Tinos" w:hAnsi="Tinos"/>
                <w:sz w:val="22"/>
                <w:szCs w:val="22"/>
              </w:rPr>
              <w:t>Автомобильная шина 1100х400-533</w:t>
            </w:r>
          </w:p>
        </w:tc>
        <w:tc>
          <w:tcPr>
            <w:tcW w:w="1261" w:type="dxa"/>
            <w:tcBorders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Style23"/>
              <w:spacing w:before="0" w:after="200"/>
              <w:jc w:val="center"/>
              <w:rPr>
                <w:rFonts w:ascii="Tinos" w:hAnsi="Tinos"/>
                <w:color w:val="000000"/>
                <w:sz w:val="22"/>
                <w:szCs w:val="22"/>
              </w:rPr>
            </w:pPr>
            <w:r>
              <w:rPr>
                <w:rFonts w:ascii="Tinos" w:hAnsi="Tinos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49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3"/>
              <w:spacing w:before="0" w:after="200"/>
              <w:jc w:val="center"/>
              <w:rPr>
                <w:rFonts w:ascii="Tinos" w:hAnsi="Tinos"/>
                <w:sz w:val="22"/>
                <w:szCs w:val="22"/>
              </w:rPr>
            </w:pPr>
            <w:r>
              <w:rPr>
                <w:rFonts w:ascii="Tinos" w:hAnsi="Tinos"/>
                <w:sz w:val="22"/>
                <w:szCs w:val="22"/>
              </w:rPr>
              <w:t>7</w:t>
            </w:r>
          </w:p>
        </w:tc>
        <w:tc>
          <w:tcPr>
            <w:tcW w:w="2467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Style23"/>
              <w:spacing w:before="0" w:after="200"/>
              <w:jc w:val="center"/>
              <w:rPr>
                <w:rFonts w:ascii="Tinos" w:hAnsi="Tinos"/>
                <w:sz w:val="22"/>
                <w:szCs w:val="22"/>
              </w:rPr>
            </w:pPr>
            <w:r>
              <w:rPr>
                <w:rFonts w:ascii="Tinos" w:hAnsi="Tinos"/>
                <w:sz w:val="22"/>
                <w:szCs w:val="22"/>
              </w:rPr>
              <w:t>технически исправен</w:t>
            </w:r>
          </w:p>
        </w:tc>
      </w:tr>
      <w:tr>
        <w:trPr>
          <w:trHeight w:val="20" w:hRule="atLeast"/>
        </w:trPr>
        <w:tc>
          <w:tcPr>
            <w:tcW w:w="57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spacing w:before="0" w:after="200"/>
              <w:jc w:val="center"/>
              <w:rPr>
                <w:rFonts w:ascii="Tinos" w:hAnsi="Tinos"/>
                <w:color w:val="000000"/>
                <w:sz w:val="20"/>
                <w:szCs w:val="20"/>
              </w:rPr>
            </w:pPr>
            <w:r>
              <w:rPr>
                <w:rFonts w:ascii="Tinos" w:hAnsi="Tinos"/>
                <w:color w:val="000000"/>
                <w:sz w:val="20"/>
                <w:szCs w:val="20"/>
              </w:rPr>
              <w:t>2</w:t>
            </w:r>
          </w:p>
        </w:tc>
        <w:tc>
          <w:tcPr>
            <w:tcW w:w="3981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Style23"/>
              <w:spacing w:before="0" w:after="200"/>
              <w:jc w:val="start"/>
              <w:rPr>
                <w:rFonts w:ascii="Tinos" w:hAnsi="Tinos"/>
                <w:sz w:val="22"/>
                <w:szCs w:val="22"/>
              </w:rPr>
            </w:pPr>
            <w:r>
              <w:rPr>
                <w:rFonts w:ascii="Tinos" w:hAnsi="Tinos"/>
                <w:sz w:val="22"/>
                <w:szCs w:val="22"/>
              </w:rPr>
              <w:t>Электростанция ЭСБ-4-В3-1</w:t>
            </w:r>
          </w:p>
        </w:tc>
        <w:tc>
          <w:tcPr>
            <w:tcW w:w="1261" w:type="dxa"/>
            <w:tcBorders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Style23"/>
              <w:spacing w:before="0" w:after="200"/>
              <w:jc w:val="center"/>
              <w:rPr>
                <w:rFonts w:ascii="Tinos" w:hAnsi="Tinos"/>
                <w:color w:val="000000"/>
                <w:sz w:val="22"/>
                <w:szCs w:val="22"/>
              </w:rPr>
            </w:pPr>
            <w:r>
              <w:rPr>
                <w:rFonts w:ascii="Tinos" w:hAnsi="Tinos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49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3"/>
              <w:spacing w:before="0" w:after="200"/>
              <w:jc w:val="center"/>
              <w:rPr>
                <w:rFonts w:ascii="Tinos" w:hAnsi="Tinos"/>
                <w:sz w:val="22"/>
                <w:szCs w:val="22"/>
              </w:rPr>
            </w:pPr>
            <w:r>
              <w:rPr>
                <w:rFonts w:ascii="Tinos" w:hAnsi="Tinos"/>
                <w:sz w:val="22"/>
                <w:szCs w:val="22"/>
              </w:rPr>
              <w:t>1</w:t>
            </w:r>
          </w:p>
        </w:tc>
        <w:tc>
          <w:tcPr>
            <w:tcW w:w="2467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Style23"/>
              <w:spacing w:before="0" w:after="200"/>
              <w:jc w:val="center"/>
              <w:rPr>
                <w:rFonts w:ascii="Tinos" w:hAnsi="Tinos"/>
                <w:sz w:val="22"/>
                <w:szCs w:val="22"/>
              </w:rPr>
            </w:pPr>
            <w:r>
              <w:rPr>
                <w:rFonts w:ascii="Tinos" w:hAnsi="Tinos"/>
                <w:sz w:val="22"/>
                <w:szCs w:val="22"/>
              </w:rPr>
              <w:t>технически исправен</w:t>
            </w:r>
          </w:p>
        </w:tc>
      </w:tr>
      <w:tr>
        <w:trPr>
          <w:trHeight w:val="20" w:hRule="atLeast"/>
        </w:trPr>
        <w:tc>
          <w:tcPr>
            <w:tcW w:w="57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spacing w:before="0" w:after="200"/>
              <w:jc w:val="center"/>
              <w:rPr>
                <w:rFonts w:ascii="Tinos" w:hAnsi="Tinos"/>
                <w:color w:val="000000"/>
                <w:sz w:val="20"/>
                <w:szCs w:val="20"/>
              </w:rPr>
            </w:pPr>
            <w:r>
              <w:rPr>
                <w:rFonts w:ascii="Tinos" w:hAnsi="Tinos"/>
                <w:color w:val="000000"/>
                <w:sz w:val="20"/>
                <w:szCs w:val="20"/>
              </w:rPr>
              <w:t>3</w:t>
            </w:r>
          </w:p>
        </w:tc>
        <w:tc>
          <w:tcPr>
            <w:tcW w:w="3981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Style23"/>
              <w:spacing w:before="0" w:after="200"/>
              <w:jc w:val="start"/>
              <w:rPr>
                <w:rFonts w:ascii="Tinos" w:hAnsi="Tinos"/>
                <w:sz w:val="22"/>
                <w:szCs w:val="22"/>
              </w:rPr>
            </w:pPr>
            <w:r>
              <w:rPr>
                <w:rFonts w:ascii="Tinos" w:hAnsi="Tinos"/>
                <w:sz w:val="22"/>
                <w:szCs w:val="22"/>
              </w:rPr>
              <w:t>Стенд регулировки карбюратора Карат 4</w:t>
            </w:r>
          </w:p>
        </w:tc>
        <w:tc>
          <w:tcPr>
            <w:tcW w:w="1261" w:type="dxa"/>
            <w:tcBorders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Style23"/>
              <w:spacing w:before="0" w:after="200"/>
              <w:jc w:val="center"/>
              <w:rPr>
                <w:rFonts w:ascii="Tinos" w:hAnsi="Tinos"/>
                <w:color w:val="000000"/>
                <w:sz w:val="22"/>
                <w:szCs w:val="22"/>
              </w:rPr>
            </w:pPr>
            <w:r>
              <w:rPr>
                <w:rFonts w:ascii="Tinos" w:hAnsi="Tinos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49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3"/>
              <w:spacing w:before="0" w:after="200"/>
              <w:jc w:val="center"/>
              <w:rPr>
                <w:rFonts w:ascii="Tinos" w:hAnsi="Tinos"/>
                <w:sz w:val="22"/>
                <w:szCs w:val="22"/>
              </w:rPr>
            </w:pPr>
            <w:r>
              <w:rPr>
                <w:rFonts w:ascii="Tinos" w:hAnsi="Tinos"/>
                <w:sz w:val="22"/>
                <w:szCs w:val="22"/>
              </w:rPr>
              <w:t>1</w:t>
            </w:r>
          </w:p>
        </w:tc>
        <w:tc>
          <w:tcPr>
            <w:tcW w:w="2467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Style23"/>
              <w:spacing w:before="0" w:after="200"/>
              <w:jc w:val="center"/>
              <w:rPr>
                <w:rFonts w:ascii="Tinos" w:hAnsi="Tinos"/>
                <w:sz w:val="22"/>
                <w:szCs w:val="22"/>
              </w:rPr>
            </w:pPr>
            <w:r>
              <w:rPr>
                <w:rFonts w:ascii="Tinos" w:hAnsi="Tinos"/>
                <w:sz w:val="22"/>
                <w:szCs w:val="22"/>
              </w:rPr>
              <w:t>технически исправен</w:t>
            </w:r>
          </w:p>
        </w:tc>
      </w:tr>
      <w:tr>
        <w:trPr>
          <w:trHeight w:val="20" w:hRule="atLeast"/>
        </w:trPr>
        <w:tc>
          <w:tcPr>
            <w:tcW w:w="57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user4"/>
              <w:spacing w:before="0" w:after="200"/>
              <w:jc w:val="center"/>
              <w:rPr>
                <w:rFonts w:ascii="Tinos" w:hAnsi="Tinos"/>
                <w:color w:val="000000"/>
                <w:sz w:val="20"/>
                <w:szCs w:val="20"/>
              </w:rPr>
            </w:pPr>
            <w:r>
              <w:rPr>
                <w:rFonts w:ascii="Tinos" w:hAnsi="Tinos"/>
                <w:color w:val="000000"/>
                <w:sz w:val="20"/>
                <w:szCs w:val="20"/>
              </w:rPr>
              <w:t>4</w:t>
            </w:r>
          </w:p>
        </w:tc>
        <w:tc>
          <w:tcPr>
            <w:tcW w:w="3981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Style23"/>
              <w:spacing w:before="0" w:after="200"/>
              <w:jc w:val="start"/>
              <w:rPr>
                <w:rFonts w:ascii="Tinos" w:hAnsi="Tinos"/>
                <w:sz w:val="22"/>
                <w:szCs w:val="22"/>
              </w:rPr>
            </w:pPr>
            <w:r>
              <w:rPr>
                <w:rFonts w:ascii="Tinos" w:hAnsi="Tinos"/>
                <w:sz w:val="22"/>
                <w:szCs w:val="22"/>
              </w:rPr>
              <w:t>Станок комбинированный деревообрабатывающий</w:t>
            </w:r>
          </w:p>
        </w:tc>
        <w:tc>
          <w:tcPr>
            <w:tcW w:w="1261" w:type="dxa"/>
            <w:tcBorders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Style23"/>
              <w:spacing w:before="0" w:after="200"/>
              <w:jc w:val="center"/>
              <w:rPr>
                <w:rFonts w:ascii="Tinos" w:hAnsi="Tinos"/>
                <w:color w:val="000000"/>
                <w:sz w:val="22"/>
                <w:szCs w:val="22"/>
              </w:rPr>
            </w:pPr>
            <w:r>
              <w:rPr>
                <w:rFonts w:ascii="Tinos" w:hAnsi="Tinos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49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23"/>
              <w:spacing w:before="0" w:after="200"/>
              <w:jc w:val="center"/>
              <w:rPr>
                <w:rFonts w:ascii="Tinos" w:hAnsi="Tinos"/>
                <w:sz w:val="22"/>
                <w:szCs w:val="22"/>
              </w:rPr>
            </w:pPr>
            <w:r>
              <w:rPr>
                <w:rFonts w:ascii="Tinos" w:hAnsi="Tinos"/>
                <w:sz w:val="22"/>
                <w:szCs w:val="22"/>
              </w:rPr>
              <w:t>1</w:t>
            </w:r>
          </w:p>
        </w:tc>
        <w:tc>
          <w:tcPr>
            <w:tcW w:w="2467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Style23"/>
              <w:spacing w:before="0" w:after="200"/>
              <w:jc w:val="center"/>
              <w:rPr>
                <w:rFonts w:ascii="Tinos" w:hAnsi="Tinos"/>
                <w:sz w:val="22"/>
                <w:szCs w:val="22"/>
              </w:rPr>
            </w:pPr>
            <w:r>
              <w:rPr>
                <w:rFonts w:ascii="Tinos" w:hAnsi="Tinos"/>
                <w:sz w:val="22"/>
                <w:szCs w:val="22"/>
              </w:rPr>
              <w:t>технически исправен</w:t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Tinos" w:hAnsi="Tinos"/>
          <w:sz w:val="22"/>
          <w:szCs w:val="22"/>
        </w:rPr>
      </w:pPr>
      <w:r>
        <w:rPr>
          <w:rFonts w:ascii="Tinos" w:hAnsi="Tinos"/>
          <w:sz w:val="22"/>
          <w:szCs w:val="22"/>
        </w:rPr>
      </w:r>
    </w:p>
    <w:p>
      <w:pPr>
        <w:pStyle w:val="Normal"/>
        <w:spacing w:lineRule="auto" w:line="240" w:before="0" w:after="0"/>
        <w:jc w:val="both"/>
        <w:rPr>
          <w:sz w:val="22"/>
          <w:szCs w:val="22"/>
        </w:rPr>
      </w:pPr>
      <w:r>
        <w:rPr>
          <w:rFonts w:eastAsia="Times New Roman" w:cs="Times New Roman" w:ascii="Tinos" w:hAnsi="Tinos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2"/>
          <w:szCs w:val="22"/>
          <w:u w:val="none"/>
          <w:em w:val="none"/>
          <w:lang w:val="ru-RU" w:eastAsia="ru-RU" w:bidi="ar-SA"/>
        </w:rPr>
        <w:t>М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2"/>
          <w:szCs w:val="22"/>
          <w:u w:val="none"/>
          <w:em w:val="none"/>
          <w:lang w:val="ru-RU" w:eastAsia="ru-RU" w:bidi="ar-SA"/>
        </w:rPr>
        <w:t xml:space="preserve">есто нахождения имущества: </w:t>
      </w:r>
      <w:r>
        <w:rPr>
          <w:rFonts w:eastAsia="Calibri" w:cs="Tinos" w:ascii="Tinos" w:hAnsi="Tinos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2"/>
          <w:szCs w:val="22"/>
          <w:u w:val="none"/>
          <w:em w:val="none"/>
          <w:lang w:val="ru-RU" w:eastAsia="en-US" w:bidi="ar-SA"/>
        </w:rPr>
        <w:t>680555, Хабаровский край, Хабаровский район, с. Сосновка ул. Шоссейная, д. 5, войсковая часть 6767</w:t>
      </w:r>
    </w:p>
    <w:p>
      <w:pPr>
        <w:pStyle w:val="HTMLPreformatted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HTMLPreformatted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HTMLPreformatted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HTMLPreformatted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HTMLPreformatted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HTMLPreformatted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HTMLPreformatted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HTMLPreformatted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  <w:r>
        <w:br w:type="page"/>
      </w:r>
    </w:p>
    <w:p>
      <w:pPr>
        <w:pStyle w:val="HTMLPreformatted"/>
        <w:spacing w:before="0" w:after="0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Приложение № 2</w:t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76" w:leader="none"/>
        </w:tabs>
        <w:spacing w:lineRule="auto" w:line="240" w:before="0" w:after="0"/>
        <w:ind w:hanging="576" w:start="576"/>
        <w:contextualSpacing/>
        <w:jc w:val="center"/>
        <w:outlineLvl w:val="1"/>
        <w:rPr>
          <w:rFonts w:ascii="Arial" w:hAnsi="Arial" w:eastAsia="Times New Roman" w:cs="Times New Roman"/>
          <w:color w:val="000000"/>
          <w:sz w:val="24"/>
          <w:szCs w:val="24"/>
          <w:lang w:eastAsia="ru-RU"/>
        </w:rPr>
      </w:pPr>
      <w:bookmarkStart w:id="3" w:name="_Toc222021414"/>
      <w:r>
        <w:rPr>
          <w:rFonts w:eastAsia="Times New Roman" w:cs="Times New Roman" w:ascii="Arial" w:hAnsi="Arial"/>
          <w:b/>
          <w:iCs/>
          <w:caps/>
          <w:color w:val="000000"/>
          <w:sz w:val="24"/>
          <w:szCs w:val="24"/>
          <w:lang w:eastAsia="ru-RU"/>
        </w:rPr>
        <w:t>ФОРМА ЗАЯВКИ НА УЧАСТИЕ В</w:t>
      </w:r>
      <w:bookmarkEnd w:id="3"/>
      <w:r>
        <w:rPr>
          <w:rFonts w:eastAsia="Times New Roman" w:cs="Times New Roman" w:ascii="Arial" w:hAnsi="Arial"/>
          <w:b/>
          <w:iCs/>
          <w:caps/>
          <w:color w:val="000000"/>
          <w:sz w:val="24"/>
          <w:szCs w:val="24"/>
          <w:lang w:eastAsia="ru-RU"/>
        </w:rPr>
        <w:t xml:space="preserve"> торгах</w:t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(для физического лица)</w:t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 xml:space="preserve"> </w:t>
      </w:r>
    </w:p>
    <w:p>
      <w:pPr>
        <w:pStyle w:val="Normal"/>
        <w:widowControl w:val="false"/>
        <w:spacing w:lineRule="auto" w:line="240" w:before="0" w:after="0"/>
        <w:contextualSpacing/>
        <w:rPr>
          <w:rFonts w:ascii="Times New Roman" w:hAnsi="Times New Roman" w:eastAsia="Times New Roman" w:cs="Times New Roman"/>
          <w:color w:val="000000"/>
          <w:sz w:val="24"/>
          <w:vertAlign w:val="superscript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1. Изучив условия документации в лице ________________________________________________</w:t>
      </w:r>
    </w:p>
    <w:p>
      <w:pPr>
        <w:pStyle w:val="Normal"/>
        <w:widowControl w:val="false"/>
        <w:spacing w:lineRule="auto" w:line="240" w:before="0" w:after="0"/>
        <w:contextualSpacing/>
        <w:jc w:val="center"/>
        <w:rPr>
          <w:rFonts w:ascii="Times New Roman" w:hAnsi="Times New Roman" w:eastAsia="Times New Roman" w:cs="Times New Roman"/>
          <w:color w:val="000000"/>
          <w:sz w:val="24"/>
          <w:vertAlign w:val="superscript"/>
        </w:rPr>
      </w:pPr>
      <w:r>
        <w:rPr>
          <w:rFonts w:eastAsia="Times New Roman" w:cs="Times New Roman" w:ascii="Times New Roman" w:hAnsi="Times New Roman"/>
          <w:color w:val="000000"/>
          <w:sz w:val="24"/>
          <w:vertAlign w:val="superscript"/>
        </w:rPr>
        <w:t>(Ф.И.О.)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сообщаю о согласии принять участие в торгах посредством публичного предложения и в случае признания победителем, заключить с Продавцом договор купли-продажи высвобождаемого движимого военного имущества. 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2. Сообщаю о себе:</w:t>
      </w:r>
    </w:p>
    <w:p>
      <w:pPr>
        <w:pStyle w:val="Normal"/>
        <w:spacing w:lineRule="auto" w:line="36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Адрес места регистрации: 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Почтовый адрес: ___________________________________________________________________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Телефон___________________________________________________________________________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Факс______________________________________________________________________________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Электронный адрес__________________________________________________________________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Паспорт___________________________________________________________________________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ИНН ______________________________________________________________________________</w:t>
      </w:r>
    </w:p>
    <w:p>
      <w:pPr>
        <w:pStyle w:val="Normal"/>
        <w:spacing w:lineRule="auto" w:line="36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Фамилии лиц, уполномоченных действовать от имени  претендента (доверенность прикладывается)</w:t>
      </w:r>
      <w:r>
        <w:rPr>
          <w:rFonts w:eastAsia="Times New Roman" w:cs="Times New Roman" w:ascii="Courier New" w:hAnsi="Courier New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</w:rPr>
        <w:t>___________________________________________________________________________________</w:t>
      </w:r>
    </w:p>
    <w:p>
      <w:pPr>
        <w:pStyle w:val="Normal"/>
        <w:spacing w:lineRule="auto" w:line="36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3. В случае объявления меня победителем, обязуюсь подписать договор в течение 5 дней.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  <w:vertAlign w:val="superscript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_______________________                ____________________________</w:t>
      </w:r>
      <w:r>
        <w:rPr>
          <w:rFonts w:eastAsia="Times New Roman" w:cs="Times New Roman" w:ascii="Times New Roman" w:hAnsi="Times New Roman"/>
          <w:color w:val="000000"/>
          <w:sz w:val="24"/>
          <w:vertAlign w:val="superscript"/>
        </w:rPr>
        <w:t xml:space="preserve">                                        </w:t>
        <w:tab/>
        <w:t xml:space="preserve">                               (подпись)</w:t>
      </w:r>
      <w:r>
        <w:rPr>
          <w:rFonts w:eastAsia="Times New Roman" w:cs="Times New Roman" w:ascii="Times New Roman" w:hAnsi="Times New Roman"/>
          <w:color w:val="000000"/>
          <w:sz w:val="24"/>
        </w:rPr>
        <w:t xml:space="preserve">                                                       </w:t>
      </w:r>
      <w:r>
        <w:rPr>
          <w:rFonts w:eastAsia="Times New Roman" w:cs="Times New Roman" w:ascii="Times New Roman" w:hAnsi="Times New Roman"/>
          <w:color w:val="000000"/>
          <w:sz w:val="24"/>
          <w:vertAlign w:val="superscript"/>
        </w:rPr>
        <w:t>(Фамилия И.О.)</w:t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Приложение № 3</w:t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76" w:leader="none"/>
        </w:tabs>
        <w:spacing w:lineRule="auto" w:line="240" w:before="0" w:after="0"/>
        <w:ind w:hanging="576" w:start="576"/>
        <w:contextualSpacing/>
        <w:jc w:val="center"/>
        <w:outlineLvl w:val="1"/>
        <w:rPr>
          <w:rFonts w:ascii="Arial" w:hAnsi="Arial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Arial" w:hAnsi="Arial"/>
          <w:b/>
          <w:iCs/>
          <w:caps/>
          <w:color w:val="000000"/>
          <w:sz w:val="24"/>
          <w:szCs w:val="24"/>
          <w:lang w:eastAsia="ru-RU"/>
        </w:rPr>
        <w:t>ФОРМА ЗАЯВКИ НА УЧАСТИЕ В торгах</w:t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для юридического лица</w:t>
      </w:r>
    </w:p>
    <w:p>
      <w:pPr>
        <w:pStyle w:val="Normal"/>
        <w:widowControl w:val="false"/>
        <w:spacing w:lineRule="auto" w:line="240" w:before="60" w:after="0"/>
        <w:contextualSpacing/>
        <w:jc w:val="center"/>
        <w:textAlignment w:val="baseline"/>
        <w:rPr>
          <w:rFonts w:ascii="Times New Roman" w:hAnsi="Times New Roman" w:eastAsia="Times New Roman" w:cs="Times New Roman"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0"/>
          <w:lang w:eastAsia="ru-RU"/>
        </w:rPr>
      </w:r>
    </w:p>
    <w:p>
      <w:pPr>
        <w:pStyle w:val="Normal"/>
        <w:widowControl w:val="false"/>
        <w:spacing w:lineRule="auto" w:line="240" w:before="0" w:after="0"/>
        <w:contextualSpacing/>
        <w:rPr>
          <w:rFonts w:ascii="Times New Roman" w:hAnsi="Times New Roman" w:eastAsia="Times New Roman" w:cs="Times New Roman"/>
          <w:color w:val="000000"/>
          <w:sz w:val="24"/>
          <w:vertAlign w:val="superscript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1. Изучив условия документации</w:t>
      </w:r>
    </w:p>
    <w:p>
      <w:pPr>
        <w:pStyle w:val="Normal"/>
        <w:widowControl w:val="false"/>
        <w:spacing w:lineRule="auto" w:line="24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__________________________________________________________________________________,</w:t>
      </w:r>
    </w:p>
    <w:p>
      <w:pPr>
        <w:pStyle w:val="Normal"/>
        <w:widowControl w:val="false"/>
        <w:spacing w:lineRule="auto" w:line="240" w:before="0" w:after="0"/>
        <w:contextualSpacing/>
        <w:jc w:val="center"/>
        <w:rPr>
          <w:rFonts w:ascii="Times New Roman" w:hAnsi="Times New Roman" w:eastAsia="Times New Roman" w:cs="Times New Roman"/>
          <w:color w:val="000000"/>
          <w:sz w:val="24"/>
          <w:vertAlign w:val="superscript"/>
        </w:rPr>
      </w:pPr>
      <w:r>
        <w:rPr>
          <w:rFonts w:eastAsia="Times New Roman" w:cs="Times New Roman" w:ascii="Times New Roman" w:hAnsi="Times New Roman"/>
          <w:color w:val="000000"/>
          <w:sz w:val="24"/>
          <w:vertAlign w:val="superscript"/>
        </w:rPr>
        <w:t>(наименование организации)</w:t>
      </w:r>
    </w:p>
    <w:p>
      <w:pPr>
        <w:pStyle w:val="Normal"/>
        <w:widowControl w:val="false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в лице _____________________________________________________________________________</w:t>
      </w:r>
    </w:p>
    <w:p>
      <w:pPr>
        <w:pStyle w:val="Normal"/>
        <w:widowControl w:val="false"/>
        <w:spacing w:lineRule="auto" w:line="240" w:before="0" w:after="0"/>
        <w:contextualSpacing/>
        <w:jc w:val="center"/>
        <w:rPr>
          <w:rFonts w:ascii="Times New Roman" w:hAnsi="Times New Roman" w:eastAsia="Times New Roman" w:cs="Times New Roman"/>
          <w:color w:val="000000"/>
          <w:sz w:val="24"/>
          <w:vertAlign w:val="superscript"/>
        </w:rPr>
      </w:pPr>
      <w:r>
        <w:rPr>
          <w:rFonts w:eastAsia="Times New Roman" w:cs="Times New Roman" w:ascii="Times New Roman" w:hAnsi="Times New Roman"/>
          <w:color w:val="000000"/>
          <w:sz w:val="24"/>
          <w:vertAlign w:val="superscript"/>
        </w:rPr>
        <w:t>(наименование должности руководителя и его Ф.И.О.)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сообщает о согласии принять участие в торгах посредством публичного предложения и в случае признания победителем, заключить с Продавцом договор купли-продажи высвобождаемого движимого военного имущества 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2. Сообщаем о себе следующее: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Наименование организации:  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Местонахождение: 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Почтовый адрес: ____________________________________________________________________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Телефон:___________________________________________________________________________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Факс:______________________________________________________________________________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электронный адрес:__________________________________________________________________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Организационно - правовая форма: 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Дата, место и орган регистрации организации: __________________________________________ __________________________________________________________________________________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ИНН______________________________________________________________________________</w:t>
      </w:r>
    </w:p>
    <w:p>
      <w:pPr>
        <w:pStyle w:val="Normal"/>
        <w:widowControl w:val="false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КПП______________________________________________________________________________</w:t>
      </w:r>
    </w:p>
    <w:p>
      <w:pPr>
        <w:pStyle w:val="Normal"/>
        <w:widowControl w:val="false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ОГРН_____________________________________________________________________________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Банковские реквизиты: 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БИК______________________________________________________________________________</w:t>
      </w:r>
    </w:p>
    <w:p>
      <w:pPr>
        <w:pStyle w:val="Normal"/>
        <w:widowControl w:val="false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Фамилии лиц, уполномоченных действовать от имени организации с правом подписи юридических и банковских документов ___________________________________________________________________________________</w:t>
      </w:r>
    </w:p>
    <w:p>
      <w:pPr>
        <w:pStyle w:val="Normal"/>
        <w:spacing w:lineRule="auto" w:line="36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3. В случае объявления нас победителем, обязуемся подписать договор в течение 5 дней.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Руководитель                ________________________                ____________________________</w:t>
      </w:r>
    </w:p>
    <w:p>
      <w:pPr>
        <w:pStyle w:val="Normal"/>
        <w:widowControl w:val="false"/>
        <w:spacing w:lineRule="auto" w:line="36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  <w:vertAlign w:val="superscript"/>
        </w:rPr>
        <w:t xml:space="preserve">                                        </w:t>
      </w:r>
      <w:r>
        <w:rPr>
          <w:rFonts w:eastAsia="Times New Roman" w:cs="Times New Roman" w:ascii="Times New Roman" w:hAnsi="Times New Roman"/>
          <w:color w:val="000000"/>
          <w:sz w:val="24"/>
          <w:vertAlign w:val="superscript"/>
        </w:rPr>
        <w:tab/>
        <w:t xml:space="preserve">                            (подпись)</w:t>
      </w:r>
      <w:r>
        <w:rPr>
          <w:rFonts w:eastAsia="Times New Roman" w:cs="Times New Roman" w:ascii="Times New Roman" w:hAnsi="Times New Roman"/>
          <w:color w:val="000000"/>
          <w:sz w:val="24"/>
        </w:rPr>
        <w:t xml:space="preserve">                                                       </w:t>
      </w:r>
      <w:r>
        <w:rPr>
          <w:rFonts w:eastAsia="Times New Roman" w:cs="Times New Roman" w:ascii="Times New Roman" w:hAnsi="Times New Roman"/>
          <w:color w:val="000000"/>
          <w:sz w:val="24"/>
          <w:vertAlign w:val="superscript"/>
        </w:rPr>
        <w:t>(Фамилия И.О.)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sectPr>
      <w:type w:val="nextPage"/>
      <w:pgSz w:w="11906" w:h="16838"/>
      <w:pgMar w:left="1134" w:right="624" w:gutter="0" w:header="0" w:top="624" w:footer="0" w:bottom="62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/>
    <w:family w:val="roman"/>
    <w:pitch w:val="default"/>
  </w:font>
  <w:font w:name="Liberation Serif">
    <w:altName w:val="Times New Roman"/>
    <w:charset w:val="01"/>
    <w:family w:val="roman"/>
    <w:pitch w:val="default"/>
  </w:font>
  <w:font w:name="Times New Roman">
    <w:charset w:val="01"/>
    <w:family w:val="roman"/>
    <w:pitch w:val="default"/>
  </w:font>
  <w:font w:name="Courier New">
    <w:charset w:val="01"/>
    <w:family w:val="roman"/>
    <w:pitch w:val="default"/>
  </w:font>
  <w:font w:name="Arial">
    <w:charset w:val="01"/>
    <w:family w:val="swiss"/>
    <w:pitch w:val="default"/>
  </w:font>
  <w:font w:name="Tahoma">
    <w:charset w:val="01"/>
    <w:family w:val="roman"/>
    <w:pitch w:val="default"/>
  </w:font>
  <w:font w:name="Arial Unicode MS">
    <w:charset w:val="01"/>
    <w:family w:val="roman"/>
    <w:pitch w:val="default"/>
  </w:font>
  <w:font w:name="Liberation Sans">
    <w:altName w:val="Arial"/>
    <w:charset w:val="01"/>
    <w:family w:val="roman"/>
    <w:pitch w:val="default"/>
  </w:font>
  <w:font w:name="PT Astra Serif">
    <w:charset w:val="01"/>
    <w:family w:val="roman"/>
    <w:pitch w:val="default"/>
  </w:font>
  <w:font w:name="Times New Roman CYR">
    <w:charset w:val="01"/>
    <w:family w:val="roman"/>
    <w:pitch w:val="default"/>
  </w:font>
  <w:font w:name="TimesNewRomanPSMT">
    <w:charset w:val="01"/>
    <w:family w:val="roman"/>
    <w:pitch w:val="default"/>
  </w:font>
  <w:font w:name="TimesNewRoman">
    <w:charset w:val="01"/>
    <w:family w:val="roman"/>
    <w:pitch w:val="default"/>
  </w:font>
  <w:font w:name="Tinos">
    <w:charset w:val="01"/>
    <w:family w:val="roman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40"/>
  <w:defaultTabStop w:val="708"/>
  <w:autoHyphenation w:val="true"/>
  <w:hyphenationZone w:val="36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2">
    <w:name w:val="heading 2"/>
    <w:basedOn w:val="Style19"/>
    <w:next w:val="BodyText"/>
    <w:qFormat/>
    <w:pPr>
      <w:spacing w:before="200" w:after="120"/>
      <w:outlineLvl w:val="1"/>
    </w:pPr>
    <w:rPr>
      <w:rFonts w:ascii="Liberation Serif" w:hAnsi="Liberation Serif" w:eastAsia="Tahoma" w:cs="Tahoma"/>
      <w:b/>
      <w:bCs/>
      <w:sz w:val="36"/>
      <w:szCs w:val="36"/>
    </w:rPr>
  </w:style>
  <w:style w:type="paragraph" w:styleId="Heading5">
    <w:name w:val="heading 5"/>
    <w:basedOn w:val="Normal"/>
    <w:qFormat/>
    <w:rsid w:val="00ca4d4e"/>
    <w:pPr>
      <w:keepNext w:val="true"/>
      <w:spacing w:lineRule="auto" w:line="240" w:before="0" w:after="0"/>
      <w:ind w:hanging="0" w:start="1531"/>
      <w:jc w:val="center"/>
      <w:outlineLvl w:val="4"/>
    </w:pPr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5" w:customStyle="1">
    <w:name w:val="Заголовок 5 Знак"/>
    <w:basedOn w:val="DefaultParagraphFont"/>
    <w:qFormat/>
    <w:rsid w:val="00ca4d4e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Style12" w:customStyle="1">
    <w:name w:val="Основной текст Знак"/>
    <w:basedOn w:val="DefaultParagraphFont"/>
    <w:qFormat/>
    <w:rsid w:val="003d1a4a"/>
    <w:rPr>
      <w:rFonts w:ascii="Times New Roman" w:hAnsi="Times New Roman" w:eastAsia="Times New Roman" w:cs="Times New Roman"/>
      <w:sz w:val="24"/>
      <w:szCs w:val="24"/>
      <w:lang w:val="x-none" w:eastAsia="x-none"/>
    </w:rPr>
  </w:style>
  <w:style w:type="character" w:styleId="HTML" w:customStyle="1">
    <w:name w:val="Стандартный HTML Знак"/>
    <w:basedOn w:val="DefaultParagraphFont"/>
    <w:uiPriority w:val="99"/>
    <w:qFormat/>
    <w:rsid w:val="00e53d3a"/>
    <w:rPr>
      <w:rFonts w:ascii="Courier New" w:hAnsi="Courier New" w:eastAsia="Times New Roman" w:cs="Courier New"/>
      <w:sz w:val="20"/>
      <w:szCs w:val="20"/>
      <w:lang w:eastAsia="ru-RU"/>
    </w:rPr>
  </w:style>
  <w:style w:type="character" w:styleId="2" w:customStyle="1">
    <w:name w:val="Основной текст 2 Знак"/>
    <w:basedOn w:val="DefaultParagraphFont"/>
    <w:uiPriority w:val="99"/>
    <w:semiHidden/>
    <w:qFormat/>
    <w:rsid w:val="00d36797"/>
    <w:rPr/>
  </w:style>
  <w:style w:type="character" w:styleId="ConsPlusNormal" w:customStyle="1">
    <w:name w:val="ConsPlusNormal Знак"/>
    <w:qFormat/>
    <w:locked/>
    <w:rsid w:val="00d36797"/>
    <w:rPr>
      <w:rFonts w:ascii="Arial" w:hAnsi="Arial" w:eastAsia="Times New Roman" w:cs="Arial"/>
      <w:sz w:val="20"/>
      <w:szCs w:val="20"/>
      <w:lang w:eastAsia="ru-RU"/>
    </w:rPr>
  </w:style>
  <w:style w:type="character" w:styleId="Hyperlink" w:customStyle="1">
    <w:name w:val="Hyperlink"/>
    <w:uiPriority w:val="99"/>
    <w:unhideWhenUsed/>
    <w:qFormat/>
    <w:rsid w:val="00ca4d4e"/>
    <w:rPr>
      <w:color w:val="000080"/>
      <w:u w:val="single"/>
    </w:rPr>
  </w:style>
  <w:style w:type="character" w:styleId="1" w:customStyle="1">
    <w:name w:val="Верхний колонтитул Знак1"/>
    <w:basedOn w:val="DefaultParagraphFont"/>
    <w:uiPriority w:val="99"/>
    <w:qFormat/>
    <w:rsid w:val="00ca4d4e"/>
    <w:rPr/>
  </w:style>
  <w:style w:type="character" w:styleId="Style13" w:customStyle="1">
    <w:name w:val="Верхний колонтитул Знак"/>
    <w:basedOn w:val="DefaultParagraphFont"/>
    <w:qFormat/>
    <w:rsid w:val="00ca4d4e"/>
    <w:rPr/>
  </w:style>
  <w:style w:type="character" w:styleId="Style14" w:customStyle="1">
    <w:name w:val="Нижний колонтитул Знак"/>
    <w:basedOn w:val="DefaultParagraphFont"/>
    <w:uiPriority w:val="99"/>
    <w:qFormat/>
    <w:rsid w:val="00ca4d4e"/>
    <w:rPr/>
  </w:style>
  <w:style w:type="character" w:styleId="Style15" w:customStyle="1">
    <w:name w:val="Текст выноски Знак"/>
    <w:basedOn w:val="DefaultParagraphFont"/>
    <w:uiPriority w:val="99"/>
    <w:semiHidden/>
    <w:qFormat/>
    <w:rsid w:val="00ca4d4e"/>
    <w:rPr>
      <w:rFonts w:ascii="Tahoma" w:hAnsi="Tahoma" w:cs="Tahoma"/>
      <w:sz w:val="16"/>
      <w:szCs w:val="16"/>
    </w:rPr>
  </w:style>
  <w:style w:type="character" w:styleId="Style16" w:customStyle="1">
    <w:name w:val="Текст сноски Знак"/>
    <w:basedOn w:val="DefaultParagraphFont"/>
    <w:uiPriority w:val="99"/>
    <w:semiHidden/>
    <w:qFormat/>
    <w:rsid w:val="00ca4d4e"/>
    <w:rPr>
      <w:rFonts w:ascii="Arial Unicode MS" w:hAnsi="Arial Unicode MS" w:eastAsia="Arial Unicode MS" w:cs="Arial Unicode MS"/>
      <w:color w:val="000000"/>
      <w:sz w:val="20"/>
      <w:szCs w:val="20"/>
      <w:lang w:val="ru-RU" w:eastAsia="ru-RU"/>
    </w:rPr>
  </w:style>
  <w:style w:type="character" w:styleId="user" w:customStyle="1">
    <w:name w:val="Символ сноски (user)"/>
    <w:qFormat/>
    <w:rPr>
      <w:vertAlign w:val="superscript"/>
    </w:rPr>
  </w:style>
  <w:style w:type="character" w:styleId="Style17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uiPriority w:val="99"/>
    <w:semiHidden/>
    <w:unhideWhenUsed/>
    <w:qFormat/>
    <w:rsid w:val="005300be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qFormat/>
    <w:rsid w:val="005300be"/>
    <w:rPr>
      <w:color w:val="800080"/>
      <w:u w:val="single"/>
    </w:rPr>
  </w:style>
  <w:style w:type="character" w:styleId="Style18">
    <w:name w:val="Символ нумерации"/>
    <w:qFormat/>
    <w:rPr/>
  </w:style>
  <w:style w:type="character" w:styleId="FontStyle19">
    <w:name w:val="Font Style19"/>
    <w:basedOn w:val="DefaultParagraphFont"/>
    <w:qFormat/>
    <w:rPr>
      <w:rFonts w:ascii="Times New Roman" w:hAnsi="Times New Roman" w:cs="Times New Roman"/>
      <w:b/>
      <w:bCs/>
      <w:sz w:val="22"/>
      <w:szCs w:val="22"/>
    </w:rPr>
  </w:style>
  <w:style w:type="paragraph" w:styleId="Style19" w:customStyle="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 Devanagari"/>
      <w:sz w:val="28"/>
      <w:szCs w:val="28"/>
    </w:rPr>
  </w:style>
  <w:style w:type="paragraph" w:styleId="BodyText">
    <w:name w:val="Body Text"/>
    <w:basedOn w:val="Normal"/>
    <w:rsid w:val="003d1a4a"/>
    <w:pPr>
      <w:spacing w:lineRule="auto" w:line="240" w:before="0" w:after="0"/>
      <w:jc w:val="both"/>
    </w:pPr>
    <w:rPr>
      <w:rFonts w:ascii="Times New Roman" w:hAnsi="Times New Roman" w:eastAsia="Times New Roman" w:cs="Times New Roman"/>
      <w:sz w:val="24"/>
      <w:szCs w:val="24"/>
      <w:lang w:val="x-none" w:eastAsia="x-none"/>
    </w:rPr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user1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user2">
    <w:name w:val="Указатель (user)"/>
    <w:basedOn w:val="Normal"/>
    <w:qFormat/>
    <w:pPr>
      <w:suppressLineNumbers/>
    </w:pPr>
    <w:rPr>
      <w:rFonts w:ascii="PT Astra Serif" w:hAnsi="PT Astra Serif" w:cs="FreeSans"/>
    </w:rPr>
  </w:style>
  <w:style w:type="paragraph" w:styleId="IndexHeading">
    <w:name w:val="index heading"/>
    <w:basedOn w:val="Normal"/>
    <w:qFormat/>
    <w:pPr>
      <w:suppressLineNumbers/>
    </w:pPr>
    <w:rPr>
      <w:rFonts w:cs="Noto Sans Devanagari"/>
    </w:rPr>
  </w:style>
  <w:style w:type="paragraph" w:styleId="ListParagraph">
    <w:name w:val="List Paragraph"/>
    <w:basedOn w:val="Normal"/>
    <w:uiPriority w:val="34"/>
    <w:qFormat/>
    <w:rsid w:val="007d6505"/>
    <w:pPr>
      <w:spacing w:before="0" w:after="200"/>
      <w:ind w:hanging="0" w:start="720"/>
      <w:contextualSpacing/>
    </w:pPr>
    <w:rPr/>
  </w:style>
  <w:style w:type="paragraph" w:styleId="HTMLPreformatted">
    <w:name w:val="HTML Preformatted"/>
    <w:basedOn w:val="Normal"/>
    <w:uiPriority w:val="99"/>
    <w:unhideWhenUsed/>
    <w:qFormat/>
    <w:rsid w:val="00e53d3a"/>
    <w:pPr>
      <w:tabs>
        <w:tab w:val="clear" w:pos="708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spacing w:lineRule="auto" w:line="240" w:before="0" w:after="0"/>
    </w:pPr>
    <w:rPr>
      <w:rFonts w:ascii="Courier New" w:hAnsi="Courier New" w:eastAsia="Times New Roman" w:cs="Courier New"/>
      <w:sz w:val="20"/>
      <w:szCs w:val="20"/>
      <w:lang w:eastAsia="ru-RU"/>
    </w:rPr>
  </w:style>
  <w:style w:type="paragraph" w:styleId="BodyText2">
    <w:name w:val="Body Text 2"/>
    <w:basedOn w:val="Normal"/>
    <w:uiPriority w:val="99"/>
    <w:semiHidden/>
    <w:unhideWhenUsed/>
    <w:qFormat/>
    <w:rsid w:val="00d36797"/>
    <w:pPr>
      <w:spacing w:lineRule="auto" w:line="480" w:before="0" w:after="120"/>
    </w:pPr>
    <w:rPr/>
  </w:style>
  <w:style w:type="paragraph" w:styleId="ConsPlusNormal1" w:customStyle="1">
    <w:name w:val="ConsPlusNormal"/>
    <w:qFormat/>
    <w:rsid w:val="00d36797"/>
    <w:pPr>
      <w:widowControl w:val="false"/>
      <w:suppressAutoHyphens w:val="true"/>
      <w:bidi w:val="0"/>
      <w:spacing w:before="0" w:after="0"/>
      <w:ind w:firstLine="720"/>
      <w:jc w:val="start"/>
    </w:pPr>
    <w:rPr>
      <w:rFonts w:ascii="Arial" w:hAnsi="Arial" w:eastAsia="Times New Roman" w:cs="Arial"/>
      <w:color w:val="auto"/>
      <w:kern w:val="0"/>
      <w:sz w:val="22"/>
      <w:szCs w:val="20"/>
      <w:lang w:val="ru-RU" w:eastAsia="ru-RU" w:bidi="ar-SA"/>
    </w:rPr>
  </w:style>
  <w:style w:type="paragraph" w:styleId="NoSpacing">
    <w:name w:val="No Spacing"/>
    <w:uiPriority w:val="1"/>
    <w:qFormat/>
    <w:rsid w:val="00ca4d4e"/>
    <w:pPr>
      <w:widowControl/>
      <w:suppressAutoHyphens w:val="true"/>
      <w:bidi w:val="0"/>
      <w:spacing w:before="0" w:after="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11" w:customStyle="1">
    <w:name w:val="Верхний колонтитул1"/>
    <w:basedOn w:val="Normal"/>
    <w:unhideWhenUsed/>
    <w:qFormat/>
    <w:rsid w:val="00ca4d4e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1">
    <w:name w:val="Верхний и нижний колонтитулы"/>
    <w:basedOn w:val="Normal"/>
    <w:qFormat/>
    <w:pPr/>
    <w:rPr/>
  </w:style>
  <w:style w:type="paragraph" w:styleId="user3">
    <w:name w:val="Колонтитулы (user)"/>
    <w:basedOn w:val="Normal"/>
    <w:qFormat/>
    <w:pPr/>
    <w:rPr/>
  </w:style>
  <w:style w:type="paragraph" w:styleId="Style22">
    <w:name w:val="Колонтитулы"/>
    <w:basedOn w:val="Normal"/>
    <w:qFormat/>
    <w:pPr/>
    <w:rPr/>
  </w:style>
  <w:style w:type="paragraph" w:styleId="Header">
    <w:name w:val="header"/>
    <w:basedOn w:val="Normal"/>
    <w:uiPriority w:val="99"/>
    <w:unhideWhenUsed/>
    <w:rsid w:val="00ca4d4e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uiPriority w:val="99"/>
    <w:unhideWhenUsed/>
    <w:rsid w:val="00ca4d4e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BalloonText">
    <w:name w:val="Balloon Text"/>
    <w:basedOn w:val="Normal"/>
    <w:uiPriority w:val="99"/>
    <w:semiHidden/>
    <w:unhideWhenUsed/>
    <w:qFormat/>
    <w:rsid w:val="00ca4d4e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uiPriority w:val="99"/>
    <w:semiHidden/>
    <w:unhideWhenUsed/>
    <w:rsid w:val="00ca4d4e"/>
    <w:pPr>
      <w:spacing w:lineRule="auto" w:line="240" w:before="0" w:after="0"/>
    </w:pPr>
    <w:rPr>
      <w:rFonts w:ascii="Arial Unicode MS" w:hAnsi="Arial Unicode MS" w:eastAsia="Arial Unicode MS" w:cs="Arial Unicode MS"/>
      <w:color w:val="000000"/>
      <w:sz w:val="20"/>
      <w:szCs w:val="20"/>
      <w:lang w:val="ru-RU" w:eastAsia="ru-RU"/>
    </w:rPr>
  </w:style>
  <w:style w:type="paragraph" w:styleId="xl63" w:customStyle="1">
    <w:name w:val="xl63"/>
    <w:basedOn w:val="Normal"/>
    <w:qFormat/>
    <w:rsid w:val="00ca4d4e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xl64" w:customStyle="1">
    <w:name w:val="xl64"/>
    <w:basedOn w:val="Normal"/>
    <w:qFormat/>
    <w:rsid w:val="00ca4d4e"/>
    <w:pP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65" w:customStyle="1">
    <w:name w:val="xl65"/>
    <w:basedOn w:val="Normal"/>
    <w:qFormat/>
    <w:rsid w:val="00ca4d4e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66" w:customStyle="1">
    <w:name w:val="xl66"/>
    <w:basedOn w:val="Normal"/>
    <w:qFormat/>
    <w:rsid w:val="00ca4d4e"/>
    <w:pP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67" w:customStyle="1">
    <w:name w:val="xl67"/>
    <w:basedOn w:val="Normal"/>
    <w:qFormat/>
    <w:rsid w:val="00ca4d4e"/>
    <w:pP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68" w:customStyle="1">
    <w:name w:val="xl68"/>
    <w:basedOn w:val="Normal"/>
    <w:qFormat/>
    <w:rsid w:val="00ca4d4e"/>
    <w:pP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69" w:customStyle="1">
    <w:name w:val="xl69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0" w:customStyle="1">
    <w:name w:val="xl70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1" w:customStyle="1">
    <w:name w:val="xl71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2" w:customStyle="1">
    <w:name w:val="xl72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3" w:customStyle="1">
    <w:name w:val="xl73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4" w:customStyle="1">
    <w:name w:val="xl74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5" w:customStyle="1">
    <w:name w:val="xl75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6" w:customStyle="1">
    <w:name w:val="xl76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7" w:customStyle="1">
    <w:name w:val="xl77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8" w:customStyle="1">
    <w:name w:val="xl78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9" w:customStyle="1">
    <w:name w:val="xl79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color w:val="000000"/>
      <w:sz w:val="24"/>
      <w:szCs w:val="24"/>
      <w:lang w:eastAsia="ru-RU"/>
    </w:rPr>
  </w:style>
  <w:style w:type="paragraph" w:styleId="xl80" w:customStyle="1">
    <w:name w:val="xl80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color w:val="000000"/>
      <w:sz w:val="24"/>
      <w:szCs w:val="24"/>
      <w:lang w:eastAsia="ru-RU"/>
    </w:rPr>
  </w:style>
  <w:style w:type="paragraph" w:styleId="xl81" w:customStyle="1">
    <w:name w:val="xl81"/>
    <w:basedOn w:val="Normal"/>
    <w:qFormat/>
    <w:rsid w:val="00ca4d4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82" w:customStyle="1">
    <w:name w:val="xl82"/>
    <w:basedOn w:val="Normal"/>
    <w:qFormat/>
    <w:rsid w:val="00ca4d4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83" w:customStyle="1">
    <w:name w:val="xl83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84" w:customStyle="1">
    <w:name w:val="xl84"/>
    <w:basedOn w:val="Normal"/>
    <w:qFormat/>
    <w:rsid w:val="00ca4d4e"/>
    <w:pP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85" w:customStyle="1">
    <w:name w:val="xl85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86" w:customStyle="1">
    <w:name w:val="xl86"/>
    <w:basedOn w:val="Normal"/>
    <w:qFormat/>
    <w:rsid w:val="00ca4d4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87" w:customStyle="1">
    <w:name w:val="xl87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88" w:customStyle="1">
    <w:name w:val="xl88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89" w:customStyle="1">
    <w:name w:val="xl89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0" w:customStyle="1">
    <w:name w:val="xl90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1" w:customStyle="1">
    <w:name w:val="xl91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2" w:customStyle="1">
    <w:name w:val="xl92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3" w:customStyle="1">
    <w:name w:val="xl93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4" w:customStyle="1">
    <w:name w:val="xl94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5" w:customStyle="1">
    <w:name w:val="xl95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6" w:customStyle="1">
    <w:name w:val="xl96"/>
    <w:basedOn w:val="Normal"/>
    <w:qFormat/>
    <w:rsid w:val="00ca4d4e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7" w:customStyle="1">
    <w:name w:val="xl97"/>
    <w:basedOn w:val="Normal"/>
    <w:qFormat/>
    <w:rsid w:val="00ca4d4e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8" w:customStyle="1">
    <w:name w:val="xl98"/>
    <w:basedOn w:val="Normal"/>
    <w:qFormat/>
    <w:rsid w:val="00ca4d4e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9" w:customStyle="1">
    <w:name w:val="xl99"/>
    <w:basedOn w:val="Normal"/>
    <w:qFormat/>
    <w:rsid w:val="00ca4d4e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00" w:customStyle="1">
    <w:name w:val="xl100"/>
    <w:basedOn w:val="Normal"/>
    <w:qFormat/>
    <w:rsid w:val="00ca4d4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101" w:customStyle="1">
    <w:name w:val="xl101"/>
    <w:basedOn w:val="Normal"/>
    <w:qFormat/>
    <w:rsid w:val="00ca4d4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102" w:customStyle="1">
    <w:name w:val="xl102"/>
    <w:basedOn w:val="Normal"/>
    <w:qFormat/>
    <w:rsid w:val="00ca4d4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103" w:customStyle="1">
    <w:name w:val="xl103"/>
    <w:basedOn w:val="Normal"/>
    <w:qFormat/>
    <w:rsid w:val="00ca4d4e"/>
    <w:pPr>
      <w:pBdr>
        <w:top w:val="single" w:sz="4" w:space="0" w:color="000000"/>
        <w:lef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104" w:customStyle="1">
    <w:name w:val="xl104"/>
    <w:basedOn w:val="Normal"/>
    <w:qFormat/>
    <w:rsid w:val="00ca4d4e"/>
    <w:pPr>
      <w:pBdr>
        <w:top w:val="single" w:sz="4" w:space="0" w:color="000000"/>
        <w:left w:val="single" w:sz="8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05" w:customStyle="1">
    <w:name w:val="xl105"/>
    <w:basedOn w:val="Normal"/>
    <w:qFormat/>
    <w:rsid w:val="00ca4d4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06" w:customStyle="1">
    <w:name w:val="xl106"/>
    <w:basedOn w:val="Normal"/>
    <w:qFormat/>
    <w:rsid w:val="00ca4d4e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07" w:customStyle="1">
    <w:name w:val="xl107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color w:val="000000"/>
      <w:sz w:val="24"/>
      <w:szCs w:val="24"/>
      <w:lang w:eastAsia="ru-RU"/>
    </w:rPr>
  </w:style>
  <w:style w:type="paragraph" w:styleId="xl108" w:customStyle="1">
    <w:name w:val="xl108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color w:val="000000"/>
      <w:sz w:val="24"/>
      <w:szCs w:val="24"/>
      <w:lang w:eastAsia="ru-RU"/>
    </w:rPr>
  </w:style>
  <w:style w:type="paragraph" w:styleId="xl109" w:customStyle="1">
    <w:name w:val="xl109"/>
    <w:basedOn w:val="Normal"/>
    <w:qFormat/>
    <w:rsid w:val="00ca4d4e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0" w:customStyle="1">
    <w:name w:val="xl110"/>
    <w:basedOn w:val="Normal"/>
    <w:qFormat/>
    <w:rsid w:val="00ca4d4e"/>
    <w:pPr>
      <w:pBdr>
        <w:top w:val="single" w:sz="8" w:space="0" w:color="000000"/>
        <w:left w:val="single" w:sz="8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1" w:customStyle="1">
    <w:name w:val="xl111"/>
    <w:basedOn w:val="Normal"/>
    <w:qFormat/>
    <w:rsid w:val="00ca4d4e"/>
    <w:pPr>
      <w:pBdr>
        <w:top w:val="single" w:sz="8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2" w:customStyle="1">
    <w:name w:val="xl112"/>
    <w:basedOn w:val="Normal"/>
    <w:qFormat/>
    <w:rsid w:val="00ca4d4e"/>
    <w:pPr>
      <w:pBdr>
        <w:top w:val="single" w:sz="8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3" w:customStyle="1">
    <w:name w:val="xl113"/>
    <w:basedOn w:val="Normal"/>
    <w:qFormat/>
    <w:rsid w:val="00ca4d4e"/>
    <w:pPr>
      <w:pBdr>
        <w:top w:val="single" w:sz="8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4" w:customStyle="1">
    <w:name w:val="xl114"/>
    <w:basedOn w:val="Normal"/>
    <w:qFormat/>
    <w:rsid w:val="00ca4d4e"/>
    <w:pPr>
      <w:pBdr>
        <w:top w:val="single" w:sz="8" w:space="0" w:color="000000"/>
        <w:lef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5" w:customStyle="1">
    <w:name w:val="xl115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6" w:customStyle="1">
    <w:name w:val="xl116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7" w:customStyle="1">
    <w:name w:val="xl117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8" w:customStyle="1">
    <w:name w:val="xl118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9" w:customStyle="1">
    <w:name w:val="xl119"/>
    <w:basedOn w:val="Normal"/>
    <w:qFormat/>
    <w:rsid w:val="00ca4d4e"/>
    <w:pPr>
      <w:pBdr>
        <w:top w:val="single" w:sz="4" w:space="0" w:color="000000"/>
        <w:left w:val="single" w:sz="4" w:space="0" w:color="000000"/>
        <w:right w:val="single" w:sz="8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20" w:customStyle="1">
    <w:name w:val="xl120"/>
    <w:basedOn w:val="Normal"/>
    <w:qFormat/>
    <w:rsid w:val="00ca4d4e"/>
    <w:pPr>
      <w:pBdr>
        <w:top w:val="single" w:sz="8" w:space="0" w:color="000000"/>
        <w:left w:val="single" w:sz="4" w:space="0" w:color="000000"/>
        <w:right w:val="single" w:sz="8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21" w:customStyle="1">
    <w:name w:val="xl121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22" w:customStyle="1">
    <w:name w:val="xl122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23" w:customStyle="1">
    <w:name w:val="xl123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24" w:customStyle="1">
    <w:name w:val="xl124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25" w:customStyle="1">
    <w:name w:val="xl125"/>
    <w:basedOn w:val="Normal"/>
    <w:qFormat/>
    <w:rsid w:val="00ca4d4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126" w:customStyle="1">
    <w:name w:val="xl126"/>
    <w:basedOn w:val="Normal"/>
    <w:qFormat/>
    <w:rsid w:val="00ca4d4e"/>
    <w:pPr>
      <w:pBdr>
        <w:top w:val="single" w:sz="4" w:space="0" w:color="000000"/>
        <w:left w:val="single" w:sz="4" w:space="0" w:color="000000"/>
        <w:right w:val="single" w:sz="8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127" w:customStyle="1">
    <w:name w:val="xl127"/>
    <w:basedOn w:val="Normal"/>
    <w:qFormat/>
    <w:rsid w:val="00ca4d4e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28" w:customStyle="1">
    <w:name w:val="xl128"/>
    <w:basedOn w:val="Normal"/>
    <w:qFormat/>
    <w:rsid w:val="00ca4d4e"/>
    <w:pPr>
      <w:pBdr>
        <w:top w:val="single" w:sz="8" w:space="0" w:color="000000"/>
        <w:bottom w:val="single" w:sz="8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29" w:customStyle="1">
    <w:name w:val="xl129"/>
    <w:basedOn w:val="Normal"/>
    <w:qFormat/>
    <w:rsid w:val="00ca4d4e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30" w:customStyle="1">
    <w:name w:val="xl130"/>
    <w:basedOn w:val="Normal"/>
    <w:qFormat/>
    <w:rsid w:val="00ca4d4e"/>
    <w:pPr>
      <w:pBdr>
        <w:top w:val="single" w:sz="4" w:space="0" w:color="000000"/>
        <w:left w:val="single" w:sz="8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131" w:customStyle="1">
    <w:name w:val="xl131"/>
    <w:basedOn w:val="Normal"/>
    <w:qFormat/>
    <w:rsid w:val="00ca4d4e"/>
    <w:pPr>
      <w:pBdr>
        <w:top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132" w:customStyle="1">
    <w:name w:val="xl132"/>
    <w:basedOn w:val="Normal"/>
    <w:qFormat/>
    <w:rsid w:val="00ca4d4e"/>
    <w:pPr>
      <w:pBdr>
        <w:top w:val="single" w:sz="8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33" w:customStyle="1">
    <w:name w:val="xl133"/>
    <w:basedOn w:val="Normal"/>
    <w:qFormat/>
    <w:rsid w:val="00ca4d4e"/>
    <w:pP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Style23" w:customStyle="1">
    <w:name w:val="Содержимое таблицы"/>
    <w:basedOn w:val="Normal"/>
    <w:qFormat/>
    <w:pPr>
      <w:suppressLineNumbers/>
    </w:pPr>
    <w:rPr/>
  </w:style>
  <w:style w:type="paragraph" w:styleId="Style24" w:customStyle="1">
    <w:name w:val="Заголовок таблицы"/>
    <w:basedOn w:val="Style23"/>
    <w:qFormat/>
    <w:pPr>
      <w:jc w:val="center"/>
    </w:pPr>
    <w:rPr>
      <w:b/>
      <w:bCs/>
    </w:rPr>
  </w:style>
  <w:style w:type="paragraph" w:styleId="Style25">
    <w:name w:val="Style2"/>
    <w:basedOn w:val="Normal"/>
    <w:qFormat/>
    <w:pPr>
      <w:spacing w:lineRule="exact" w:line="444"/>
      <w:ind w:firstLine="1862"/>
    </w:pPr>
    <w:rPr/>
  </w:style>
  <w:style w:type="paragraph" w:styleId="user4">
    <w:name w:val="Содержимое таблицы (user)"/>
    <w:basedOn w:val="Normal"/>
    <w:qFormat/>
    <w:pPr>
      <w:suppressLineNumbers/>
    </w:pPr>
    <w:rPr/>
  </w:style>
  <w:style w:type="numbering" w:styleId="user5" w:default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7">
    <w:name w:val="Table Grid"/>
    <w:basedOn w:val="a1"/>
    <w:uiPriority w:val="59"/>
    <w:rsid w:val="007d650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">
    <w:name w:val="Сетка таблицы1"/>
    <w:basedOn w:val="a1"/>
    <w:uiPriority w:val="59"/>
    <w:rsid w:val="005300be"/>
    <w:rPr>
      <w:lang w:eastAsia="ru-RU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roseltorg.ru/" TargetMode="External"/><Relationship Id="rId3" Type="http://schemas.openxmlformats.org/officeDocument/2006/relationships/hyperlink" Target="https://www.roseltorg.ru/" TargetMode="External"/><Relationship Id="rId4" Type="http://schemas.openxmlformats.org/officeDocument/2006/relationships/hyperlink" Target="consultantplus://offline/ref=8608A915A77589369BD2B7F347595D5ABC538B22E06FA735FD52FF4C23570EP" TargetMode="External"/><Relationship Id="rId5" Type="http://schemas.openxmlformats.org/officeDocument/2006/relationships/hyperlink" Target="consultantplus://offline/ref=8886142B30A1ED25946F3605BFB8077666AA29F7575C6D2C2FD59D8142AD0511DD20E07C6D1DA4B9D5ZBG" TargetMode="External"/><Relationship Id="rId6" Type="http://schemas.openxmlformats.org/officeDocument/2006/relationships/hyperlink" Target="http://www.torgi.gov.ru/" TargetMode="External"/><Relationship Id="rId7" Type="http://schemas.openxmlformats.org/officeDocument/2006/relationships/hyperlink" Target="http://www.roseltorg.ru/" TargetMode="Externa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1491</TotalTime>
  <Application>LibreOffice/25.8.3.2$Linux_X86_64 LibreOffice_project/580$Build-2</Application>
  <AppVersion>15.0000</AppVersion>
  <Pages>8</Pages>
  <Words>2357</Words>
  <Characters>18461</Characters>
  <CharactersWithSpaces>20953</CharactersWithSpaces>
  <Paragraphs>200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2020-10-24T03:17:00Z</dcterms:created>
  <dc:creator>Лукьянов Алексей Анатольевич</dc:creator>
  <dc:description/>
  <dc:language>ru-RU</dc:language>
  <cp:lastModifiedBy/>
  <cp:lastPrinted>2026-08-11T15:52:01Z</cp:lastPrinted>
  <dcterms:modified xsi:type="dcterms:W3CDTF">2026-09-29T16:32:34Z</dcterms:modified>
  <cp:revision>47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