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 xml:space="preserve">Информационное сообщение </w:t>
      </w:r>
    </w:p>
    <w:p>
      <w:pPr>
        <w:pStyle w:val="Normal"/>
        <w:spacing w:lineRule="auto" w:line="240" w:before="0" w:after="0"/>
        <w:ind w:firstLine="561"/>
        <w:jc w:val="center"/>
        <w:rPr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 xml:space="preserve">о проведении продажи посредством публичного предложения </w:t>
      </w:r>
    </w:p>
    <w:p>
      <w:pPr>
        <w:pStyle w:val="Normal"/>
        <w:spacing w:before="0" w:after="0"/>
        <w:jc w:val="center"/>
        <w:rPr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 xml:space="preserve">высвобождаемого движимого военного имущества № </w:t>
      </w:r>
      <w:r>
        <w:rPr>
          <w:rFonts w:cs="Times New Roman" w:ascii="Times New Roman" w:hAnsi="Times New Roman"/>
          <w:b/>
          <w:sz w:val="20"/>
          <w:szCs w:val="20"/>
        </w:rPr>
        <w:t>5</w:t>
      </w:r>
    </w:p>
    <w:tbl>
      <w:tblPr>
        <w:tblW w:w="10203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624"/>
        <w:gridCol w:w="2607"/>
        <w:gridCol w:w="6972"/>
      </w:tblGrid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№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Наименование сведений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Информация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Наименование государственного органа, принявшего решение об условиях приватизации имущества, реквизиты указанного решения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ru-RU" w:eastAsia="en-US" w:bidi="ar-SA"/>
              </w:rPr>
              <w:t xml:space="preserve">Федеральное казенное учреждение «Дальневосточный центр материально-технического обеспечения Федеральной службы войск национальной гвардии» (на основании Сводного перечня движимого военного имущества, подлежащего реализации по номенклатуре ДТО Росгвардии, подлежащего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в </w:t>
            </w:r>
            <w:r>
              <w:rPr>
                <w:rFonts w:eastAsia="Times New Roman" w:cs="Times New Roman" w:ascii="Times New Roman" w:hAnsi="Times New Roman"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  <w:t>2026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 году (</w:t>
            </w:r>
            <w:r>
              <w:rPr>
                <w:rFonts w:eastAsia="Calibri" w:cs="Times New Roman" w:ascii="Times New Roman" w:hAnsi="Times New Roman"/>
                <w:bCs/>
                <w:color w:val="auto"/>
                <w:kern w:val="0"/>
                <w:sz w:val="20"/>
                <w:szCs w:val="20"/>
                <w:lang w:val="ru-RU" w:eastAsia="en-US" w:bidi="ar-SA"/>
              </w:rPr>
              <w:t xml:space="preserve">распоряжения заместителя директора ФС ВНГ РФ – главнокомандующего ВНГ 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ru-RU" w:eastAsia="en-US" w:bidi="ar-SA"/>
              </w:rPr>
              <w:t xml:space="preserve">от 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05.05.2026 № 23/3878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ru-RU" w:eastAsia="en-US" w:bidi="ar-SA"/>
              </w:rPr>
              <w:t>)</w:t>
            </w: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Наименование имущества и иные позволяющие его индивидуализировать сведения (характеристика имущества)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hanging="0" w:start="0" w:end="-1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Высвобождаемое движимое имущество автобронетанковой </w:t>
            </w:r>
            <w:r>
              <w:rPr>
                <w:rFonts w:eastAsia="Calibri" w:cs="Times New Roman" w:ascii="Times New Roman" w:hAnsi="Times New Roman"/>
                <w:b/>
                <w:sz w:val="20"/>
                <w:szCs w:val="20"/>
              </w:rPr>
              <w:t>службы.</w:t>
            </w:r>
          </w:p>
          <w:p>
            <w:pPr>
              <w:pStyle w:val="Normal"/>
              <w:spacing w:lineRule="auto" w:line="240" w:before="0" w:after="0"/>
              <w:ind w:hanging="0" w:start="0" w:end="-1"/>
              <w:jc w:val="both"/>
              <w:rPr>
                <w:sz w:val="20"/>
                <w:szCs w:val="20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0"/>
                <w:szCs w:val="20"/>
              </w:rPr>
              <w:t>Перечень и характеристика имущества указаны в Приложении № 1 к настоящему Информационному сообщению.</w:t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0"/>
                <w:szCs w:val="20"/>
              </w:rPr>
              <w:t xml:space="preserve">Местонахождение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имущества</w:t>
            </w:r>
            <w:r>
              <w:rPr>
                <w:rFonts w:eastAsia="Arial Unicode MS" w:cs="Times New Roman" w:ascii="Times New Roman" w:hAnsi="Times New Roman"/>
                <w:color w:val="000000"/>
                <w:sz w:val="20"/>
                <w:szCs w:val="20"/>
              </w:rPr>
              <w:t>:</w:t>
            </w:r>
          </w:p>
          <w:p>
            <w:pPr>
              <w:pStyle w:val="Normal"/>
              <w:spacing w:lineRule="auto" w:line="240" w:before="0" w:after="0"/>
              <w:ind w:hanging="0" w:start="0" w:end="-1"/>
              <w:jc w:val="both"/>
              <w:rPr/>
            </w:pPr>
            <w:r>
              <w:rPr>
                <w:rStyle w:val="FontStyle19"/>
                <w:rFonts w:eastAsia="Calibri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shd w:fill="auto" w:val="clear"/>
                <w:em w:val="none"/>
                <w:lang w:val="ru-RU" w:eastAsia="ru-RU" w:bidi="ar-SA"/>
              </w:rPr>
              <w:t>675000, Амурская область, г. Благовещенск, ул. Октябрьская, д.137,  Управление Росгвардии по Амурской области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Способ приватизации имущества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bCs/>
                <w:color w:val="auto"/>
                <w:kern w:val="0"/>
                <w:sz w:val="20"/>
                <w:szCs w:val="20"/>
                <w:lang w:val="ru-RU" w:eastAsia="en-US" w:bidi="ar-SA"/>
              </w:rPr>
              <w:t>Продажа государственного имущества посредством публичного предложения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Начальная цена продажи </w:t>
            </w: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имущества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19 141,74 руб.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Величина повышения начальной цены («шаг понижения»)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0"/>
                <w:szCs w:val="20"/>
                <w:lang w:val="ru-RU" w:eastAsia="en-US" w:bidi="ar-SA"/>
              </w:rPr>
              <w:t>Не более 10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% от начальной цены продажи —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0"/>
                <w:szCs w:val="20"/>
                <w:lang w:val="ru-RU" w:eastAsia="en-US" w:bidi="ar-SA"/>
              </w:rPr>
              <w:t xml:space="preserve"> 1 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0"/>
                <w:szCs w:val="20"/>
                <w:lang w:val="ru-RU" w:eastAsia="en-US" w:bidi="ar-SA"/>
              </w:rPr>
              <w:t>914,17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руб.</w:t>
            </w:r>
          </w:p>
        </w:tc>
      </w:tr>
      <w:tr>
        <w:trPr/>
        <w:tc>
          <w:tcPr>
            <w:tcW w:w="6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Величина повышения начальной цены («шаг аукциона»)</w:t>
            </w:r>
          </w:p>
        </w:tc>
        <w:tc>
          <w:tcPr>
            <w:tcW w:w="697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Не более 50% от «шага понижения» - </w:t>
            </w:r>
            <w:r>
              <w:rPr>
                <w:rFonts w:ascii="Times New Roman" w:hAnsi="Times New Roman"/>
                <w:sz w:val="20"/>
                <w:szCs w:val="20"/>
              </w:rPr>
              <w:t>957,09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фиксированная сумма, не изменяется в течение продажи.</w:t>
            </w:r>
          </w:p>
        </w:tc>
      </w:tr>
      <w:tr>
        <w:trPr/>
        <w:tc>
          <w:tcPr>
            <w:tcW w:w="6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Минимальная цена продажи («цена отсечения»)</w:t>
            </w:r>
          </w:p>
        </w:tc>
        <w:tc>
          <w:tcPr>
            <w:tcW w:w="697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Цена отсечения 50% начальной цены продажи — </w:t>
            </w: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  <w:lang w:val="ru-RU" w:eastAsia="en-US" w:bidi="ar-SA"/>
              </w:rPr>
              <w:t xml:space="preserve">9 570,87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Условия и сроки платежа, необходимые реквизиты счетов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bookmarkStart w:id="0" w:name="sub_662"/>
            <w:r>
              <w:rPr>
                <w:rFonts w:eastAsia="" w:cs="Times New Roman" w:ascii="Times New Roman" w:hAnsi="Times New Roman" w:eastAsiaTheme="minorEastAsia"/>
                <w:sz w:val="20"/>
                <w:szCs w:val="20"/>
                <w:lang w:eastAsia="ru-RU"/>
              </w:rPr>
              <w:t xml:space="preserve">      </w:t>
            </w:r>
            <w:bookmarkStart w:id="1" w:name="sub_6621"/>
            <w:bookmarkEnd w:id="0"/>
            <w:r>
              <w:rPr>
                <w:rFonts w:eastAsia="" w:cs="Times New Roman" w:ascii="Times New Roman" w:hAnsi="Times New Roman" w:eastAsiaTheme="minorEastAsia"/>
                <w:sz w:val="20"/>
                <w:szCs w:val="20"/>
                <w:lang w:eastAsia="ru-RU"/>
              </w:rPr>
              <w:t>Денежные средства в счет оплаты государственного или муниципального имущества, подлежат перечислению победителем Балансодержателю в установленном порядке в бюджет соответствующего уровня бюджетной системы Российской Федерации в размере и сроки, которые указаны в договоре купли-продажи имущества, в течении 15 рабочих дней со дня заключения такого договора</w:t>
            </w:r>
            <w:bookmarkEnd w:id="1"/>
            <w:r>
              <w:rPr>
                <w:rFonts w:eastAsia="" w:cs="Times New Roman" w:ascii="Times New Roman" w:hAnsi="Times New Roman" w:eastAsiaTheme="minorEastAsia"/>
                <w:sz w:val="20"/>
                <w:szCs w:val="20"/>
                <w:lang w:eastAsia="ru-RU"/>
              </w:rPr>
              <w:t xml:space="preserve"> по </w:t>
            </w:r>
            <w:r>
              <w:rPr>
                <w:rFonts w:eastAsia="" w:cs="Times New Roman" w:ascii="Times New Roman" w:hAnsi="Times New Roman" w:eastAsiaTheme="minorEastAsia"/>
                <w:b/>
                <w:i/>
                <w:sz w:val="20"/>
                <w:szCs w:val="20"/>
                <w:lang w:eastAsia="ru-RU"/>
              </w:rPr>
              <w:t>платежным реквизитам Балансодержателя</w:t>
            </w:r>
            <w:r>
              <w:rPr>
                <w:rFonts w:eastAsia="" w:cs="Times New Roman" w:ascii="Times New Roman" w:hAnsi="Times New Roman"/>
                <w:color w:val="FF0000"/>
                <w:sz w:val="20"/>
                <w:szCs w:val="20"/>
                <w:lang w:eastAsia="ru-RU"/>
              </w:rPr>
              <w:t>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Размер задатка, срок и порядок его внесения, необходимые реквизиты счетов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 xml:space="preserve">       </w:t>
            </w: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 xml:space="preserve">10% от начальной цены реализации </w:t>
            </w:r>
            <w:r>
              <w:rPr>
                <w:rFonts w:cs="Times New Roman" w:ascii="Times New Roman" w:hAnsi="Times New Roman"/>
                <w:bCs/>
                <w:color w:val="000000"/>
                <w:sz w:val="20"/>
                <w:szCs w:val="20"/>
              </w:rPr>
              <w:t xml:space="preserve"> - </w:t>
            </w:r>
            <w:r>
              <w:rPr>
                <w:rFonts w:cs="Times New Roman" w:ascii="Times New Roman" w:hAnsi="Times New Roman"/>
                <w:bCs/>
                <w:color w:val="000000"/>
                <w:sz w:val="20"/>
                <w:szCs w:val="20"/>
              </w:rPr>
              <w:t xml:space="preserve">1 914,17 </w:t>
            </w:r>
            <w:r>
              <w:rPr>
                <w:rFonts w:cs="Times New Roman" w:ascii="Times New Roman" w:hAnsi="Times New Roman"/>
                <w:bCs/>
                <w:color w:val="000000"/>
                <w:sz w:val="20"/>
                <w:szCs w:val="20"/>
              </w:rPr>
              <w:t>руб.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 xml:space="preserve">Перечисление задатка претендентами на участие в аукционе претендент перечисляет в безналичном порядке денежные средства в валюте Российской Федерации на </w:t>
            </w:r>
            <w:r>
              <w:rPr>
                <w:rFonts w:eastAsia="Calibri" w:cs="Times New Roman" w:ascii="Times New Roman" w:hAnsi="Times New Roman" w:eastAsiaTheme="minorHAnsi"/>
                <w:bCs/>
                <w:color w:val="auto"/>
                <w:kern w:val="0"/>
                <w:sz w:val="20"/>
                <w:szCs w:val="20"/>
                <w:lang w:val="ru-RU" w:eastAsia="en-US" w:bidi="ar-SA"/>
              </w:rPr>
              <w:t>банковский счет Оператора электронной площадки</w:t>
            </w:r>
          </w:p>
          <w:p>
            <w:pPr>
              <w:pStyle w:val="Normal"/>
              <w:spacing w:lineRule="auto" w:line="240" w:before="0" w:after="0"/>
              <w:ind w:firstLine="567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>Задаток </w:t>
            </w:r>
            <w:r>
              <w:rPr>
                <w:rFonts w:cs="Times New Roman" w:ascii="Times New Roman" w:hAnsi="Times New Roman"/>
                <w:bCs/>
                <w:iCs/>
                <w:sz w:val="20"/>
                <w:szCs w:val="20"/>
              </w:rPr>
              <w:t>должен быть перечислен на указанный счет не позднее 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>«</w:t>
            </w:r>
            <w:r>
              <w:rPr>
                <w:rFonts w:eastAsia="Calibri" w:cs="Times New Roman" w:ascii="Times New Roman" w:hAnsi="Times New Roman" w:eastAsiaTheme="minorHAnsi"/>
                <w:b/>
                <w:bCs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04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» декабря </w:t>
            </w:r>
            <w:r>
              <w:rPr>
                <w:rFonts w:eastAsia="Calibri" w:cs="Times New Roman" w:ascii="Times New Roman" w:hAnsi="Times New Roman" w:eastAsiaTheme="minorHAnsi"/>
                <w:b/>
                <w:color w:val="auto"/>
                <w:kern w:val="0"/>
                <w:sz w:val="20"/>
                <w:szCs w:val="20"/>
                <w:lang w:val="ru-RU" w:eastAsia="en-US" w:bidi="ar-SA"/>
              </w:rPr>
              <w:t>2026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 г.</w:t>
            </w:r>
          </w:p>
          <w:p>
            <w:pPr>
              <w:pStyle w:val="Normal"/>
              <w:tabs>
                <w:tab w:val="clear" w:pos="708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Задаток перечисляется на счет продавца на основании публичной оферты.</w:t>
            </w:r>
          </w:p>
          <w:p>
            <w:pPr>
              <w:pStyle w:val="Normal"/>
              <w:tabs>
                <w:tab w:val="clear" w:pos="708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      </w:r>
          </w:p>
          <w:p>
            <w:pPr>
              <w:pStyle w:val="Normal"/>
              <w:tabs>
                <w:tab w:val="clear" w:pos="708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Документом, подтверждающим поступление задатка на счет Продавца, является выписка со счета продавца.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Задаток вносится претендентом в качестве обеспечения исполнения обязательств по оплате высвобождаемого движимого военного имущества и, в случае признания претендента победителем аукциона, засчитывается в счет платежа, причитающегося с претендента в оплату за приобретаемое высвобождаемое движимое военное имущество.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случае не поступления в указанный срок суммы задатка на счет продавца, что подтверждается соответствующей выпиской, обязательства претендента по внесению задатка считаются неисполненными, претендент к участию в аукционе не допускается.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Претендент не вправе распоряжаться денежными средствами, поступившими на счет Продавца в качестве задатка.</w:t>
            </w:r>
          </w:p>
          <w:p>
            <w:pPr>
              <w:pStyle w:val="BodyText"/>
              <w:tabs>
                <w:tab w:val="clear" w:pos="708"/>
                <w:tab w:val="left" w:pos="1260" w:leader="none"/>
                <w:tab w:val="left" w:pos="7740" w:leader="none"/>
              </w:tabs>
              <w:ind w:firstLine="6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денежные средства, перечисленные претендентом в качестве задатка, проценты не начисляются.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Возврат денежных средств осуществляется на счет претендента, указанный в заявке.</w:t>
            </w:r>
          </w:p>
          <w:p>
            <w:pPr>
              <w:pStyle w:val="Normal"/>
              <w:tabs>
                <w:tab w:val="clear" w:pos="708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u w:val="single"/>
              </w:rPr>
              <w:t>Задаток возвращается претенденту в следующих случаях и порядке: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в случае если претенденту было отказано в приеме заявки на участие в аукционе, продавец обязуется возвратить сумму задатка на счет претендента, указанный в заявке, в течение 5 (пяти) дней с даты отказа в принятии заявки, проставленной продавцом на описи представленных претендентом документов;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в случае если претендент не допущен к участию в аукционе, продавец обязуется возвратить сумму задатка на счет претендента, указанный в заявке, в течение 5 (пяти) дней со дня подписания протокола о признании претендентов участниками аукциона;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в случае если участник не признан победителем аукциона, продавец обязуется возвратить сумму задатка на счет, указанный в заявке, в течение 5 (пяти) дней с даты подведения итогов аукциона;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</w:tabs>
              <w:spacing w:lineRule="auto" w:line="24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в случае отзыва претендентом в установленном порядке заявки на участие в аукционе до даты окончания приема заявок продавец обязуется возвратить сумму задатка на счет претендента, указанный в заявке, в течение 5 (пяти) дней с даты получения продавцом от претендента письменного уведомления об отзыве заявки. Если заявка отозвана претендентом позднее даты окончания приема заявок, задаток возвращается в течение 5 (пяти) дней с даты подведения итогов аукциона;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- в случае признания аукциона несостоявшимся, продавец обязуется возвратить сумму задатка на счет участника, указанный в заявке, в течение 5 (пяти) дней с даты подведения итогов аукциона;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в случае отмены проведения аукциона, продавец в течение 5 (пяти) дней с даты опубликования об этом информационного сообщения возвращает участнику сумму задатка на счет, указанный в заявке;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продавец освобождается от ответственности за несвоевременное перечисление суммы задатка на счет Претендента, если претендент предоставил недостоверные и (или) неполные сведения о своих реквизитах в заявке.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u w:val="single"/>
              </w:rPr>
              <w:t>Задаток не возвращается в следующих случаях:</w:t>
            </w:r>
          </w:p>
          <w:p>
            <w:pPr>
              <w:pStyle w:val="Normal"/>
              <w:spacing w:lineRule="auto" w:line="24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если участник, признанный победителем аукциона, уклоняется или отказывается от заключения договора купли-продажи в установленный срок, в том числе, в случае непредставления таким участником документов, подтверждающих его право быть покупателем имущества (если заключение договора купли-продажи высвобождаемого движимого военного имущества являлось для участников аукциона лицензируемым видом деятельности, осуществление которого в силу действующего законодательства возможно только при наличии соответствующей лицензии;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Порядок, место, даты начала и окончания подачи заявок на участие в продаже, рассмотрение заявок, признание претендентами участников торгов Порядок разъяснения запросов.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" w:cs="Times New Roman CYR" w:ascii="Times New Roman CYR" w:hAnsi="Times New Roman CYR" w:eastAsiaTheme="minorEastAsia"/>
                <w:sz w:val="20"/>
                <w:szCs w:val="20"/>
                <w:lang w:eastAsia="ru-RU"/>
              </w:rPr>
              <w:t xml:space="preserve">     </w:t>
            </w:r>
            <w:r>
              <w:rPr>
                <w:rFonts w:eastAsia="" w:cs="Times New Roman" w:ascii="Times New Roman" w:hAnsi="Times New Roman" w:eastAsiaTheme="minorEastAsia"/>
                <w:sz w:val="20"/>
                <w:szCs w:val="20"/>
                <w:lang w:eastAsia="ru-RU"/>
              </w:rPr>
              <w:t xml:space="preserve">Торговая площадка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АО «Единая электронная торговая площадка» (сокращенно АО «ЕЭТП» или «Росэлторг»). Сайт.</w:t>
            </w:r>
            <w:hyperlink r:id="rId2">
              <w:r>
                <w:rPr>
                  <w:rStyle w:val="Style7"/>
                  <w:rFonts w:eastAsia="Times New Roman" w:cs="Times New Roman" w:ascii="Times New Roman" w:hAnsi="Times New Roman"/>
                  <w:sz w:val="20"/>
                  <w:szCs w:val="20"/>
                  <w:u w:val="single"/>
                  <w:lang w:eastAsia="ru-RU"/>
                </w:rPr>
                <w:t>https://</w:t>
              </w:r>
              <w:r>
                <w:rPr>
                  <w:rStyle w:val="Style7"/>
                  <w:rFonts w:eastAsia="Times New Roman" w:cs="Times New Roman" w:ascii="Times New Roman" w:hAnsi="Times New Roman"/>
                  <w:sz w:val="20"/>
                  <w:szCs w:val="20"/>
                  <w:u w:val="single"/>
                  <w:lang w:val="en-US" w:eastAsia="ru-RU"/>
                </w:rPr>
                <w:t>www</w:t>
              </w:r>
              <w:r>
                <w:rPr>
                  <w:rStyle w:val="Style7"/>
                  <w:rFonts w:eastAsia="Times New Roman" w:cs="Times New Roman" w:ascii="Times New Roman" w:hAnsi="Times New Roman"/>
                  <w:sz w:val="20"/>
                  <w:szCs w:val="20"/>
                  <w:u w:val="single"/>
                  <w:lang w:eastAsia="ru-RU"/>
                </w:rPr>
                <w:t>.roseltorg.ru</w:t>
              </w:r>
            </w:hyperlink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" w:cs="Times New Roman CYR" w:ascii="Times New Roman CYR" w:hAnsi="Times New Roman CYR" w:eastAsiaTheme="minorEastAsia"/>
                <w:sz w:val="20"/>
                <w:szCs w:val="20"/>
                <w:lang w:eastAsia="ru-RU"/>
              </w:rPr>
              <w:t>Одно лицо имеет право подать только одну заявку.</w:t>
            </w:r>
          </w:p>
          <w:p>
            <w:pPr>
              <w:pStyle w:val="Normal"/>
              <w:spacing w:lineRule="auto" w:line="240" w:before="0" w:after="0"/>
              <w:ind w:firstLine="600" w:end="-2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Дата начала приема заявок на участие в продаже посредством публичного предложения – 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>«</w:t>
            </w:r>
            <w:r>
              <w:rPr>
                <w:rFonts w:eastAsia="Calibri" w:cs="Times New Roman" w:ascii="Times New Roman" w:hAnsi="Times New Roman" w:eastAsiaTheme="minorHAnsi"/>
                <w:b/>
                <w:bCs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12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» </w:t>
            </w:r>
            <w:r>
              <w:rPr>
                <w:rFonts w:eastAsia="Calibri" w:cs="Times New Roman" w:ascii="Times New Roman" w:hAnsi="Times New Roman" w:eastAsiaTheme="minorHAnsi"/>
                <w:b/>
                <w:bCs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октября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 w:eastAsiaTheme="minorHAnsi"/>
                <w:b/>
                <w:color w:val="auto"/>
                <w:kern w:val="0"/>
                <w:sz w:val="20"/>
                <w:szCs w:val="20"/>
                <w:lang w:val="ru-RU" w:eastAsia="en-US" w:bidi="ar-SA"/>
              </w:rPr>
              <w:t>2026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 г.</w:t>
            </w:r>
          </w:p>
          <w:p>
            <w:pPr>
              <w:pStyle w:val="Normal"/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Дата окончания приема заявок на участие в продаже посредством публичного предложения – 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>«</w:t>
            </w:r>
            <w:r>
              <w:rPr>
                <w:rFonts w:eastAsia="Calibri" w:cs="Times New Roman" w:ascii="Times New Roman" w:hAnsi="Times New Roman" w:eastAsiaTheme="minorHAnsi"/>
                <w:b/>
                <w:bCs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07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» </w:t>
            </w:r>
            <w:r>
              <w:rPr>
                <w:rFonts w:eastAsia="Calibri" w:cs="Times New Roman" w:ascii="Times New Roman" w:hAnsi="Times New Roman" w:eastAsiaTheme="minorHAnsi"/>
                <w:b/>
                <w:bCs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декабря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 w:eastAsiaTheme="minorHAnsi"/>
                <w:b/>
                <w:color w:val="auto"/>
                <w:kern w:val="0"/>
                <w:sz w:val="20"/>
                <w:szCs w:val="20"/>
                <w:lang w:val="ru-RU" w:eastAsia="en-US" w:bidi="ar-SA"/>
              </w:rPr>
              <w:t>2026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 г.</w:t>
            </w:r>
          </w:p>
          <w:p>
            <w:pPr>
              <w:pStyle w:val="HTMLPreformatted"/>
              <w:ind w:firstLine="54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  <w:t>признание претендентов участниками торгов -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 «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  <w:t>09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» 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  <w:t>декабря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  <w:t>2026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 г.</w:t>
            </w:r>
          </w:p>
        </w:tc>
      </w:tr>
      <w:tr>
        <w:trPr>
          <w:trHeight w:val="791" w:hRule="atLeast"/>
        </w:trPr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Дата, время и место проведения аукциона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HTMLPreformatted"/>
              <w:ind w:firstLine="54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Проведение </w:t>
            </w: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20"/>
                <w:szCs w:val="20"/>
                <w:lang w:val="ru-RU" w:eastAsia="ru-RU" w:bidi="ar-SA"/>
              </w:rPr>
              <w:t>торгов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 - «1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>» дека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  <w:t>бря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20"/>
                <w:szCs w:val="20"/>
                <w:lang w:val="ru-RU" w:eastAsia="ru-RU" w:bidi="ar-SA"/>
              </w:rPr>
              <w:t>2026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 г. в 12 ч. 00 мин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.</w:t>
            </w:r>
          </w:p>
          <w:p>
            <w:pPr>
              <w:pStyle w:val="HTMLPreformatted"/>
              <w:jc w:val="both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АО «ЕЭТП» или «Росэлторг») </w:t>
            </w:r>
            <w:hyperlink r:id="rId3">
              <w:r>
                <w:rPr>
                  <w:rStyle w:val="Style7"/>
                  <w:rFonts w:cs="Times New Roman" w:ascii="Times New Roman" w:hAnsi="Times New Roman"/>
                  <w:color w:val="0000FF"/>
                  <w:sz w:val="20"/>
                  <w:szCs w:val="20"/>
                  <w:u w:val="single"/>
                </w:rPr>
                <w:t>https://</w:t>
              </w:r>
              <w:r>
                <w:rPr>
                  <w:rStyle w:val="Style7"/>
                  <w:rFonts w:cs="Times New Roman"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www</w:t>
              </w:r>
              <w:r>
                <w:rPr>
                  <w:rStyle w:val="Style7"/>
                  <w:rFonts w:cs="Times New Roman" w:ascii="Times New Roman" w:hAnsi="Times New Roman"/>
                  <w:color w:val="0000FF"/>
                  <w:sz w:val="20"/>
                  <w:szCs w:val="20"/>
                  <w:u w:val="single"/>
                </w:rPr>
                <w:t>.roseltorg.ru</w:t>
              </w:r>
            </w:hyperlink>
            <w:r>
              <w:rPr>
                <w:rFonts w:cs="Times New Roman" w:ascii="Times New Roman" w:hAnsi="Times New Roman"/>
                <w:sz w:val="20"/>
                <w:szCs w:val="20"/>
              </w:rPr>
              <w:t>.</w:t>
            </w:r>
          </w:p>
          <w:p>
            <w:pPr>
              <w:pStyle w:val="HTMLPreformatted"/>
              <w:ind w:firstLine="54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>Подведение итогов – в день проведения торгов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Исчерпывающий перечень представляемых участниками торгов документов и требования к их оформлению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40" w:before="0" w:after="0"/>
              <w:ind w:firstLine="510" w:start="0" w:end="0"/>
              <w:jc w:val="both"/>
              <w:rPr/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Заявка (</w:t>
            </w: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shd w:fill="FFFFFF" w:val="clear"/>
                <w:lang w:eastAsia="ru-RU"/>
              </w:rPr>
              <w:t>приложение № 2,3</w:t>
            </w: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 xml:space="preserve">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      </w:r>
            <w:hyperlink r:id="rId4">
              <w:r>
                <w:rPr>
                  <w:rStyle w:val="Style7"/>
                  <w:rFonts w:eastAsia="Times New Roman" w:cs="Times New Roman" w:ascii="Times New Roman" w:hAnsi="Times New Roman"/>
                  <w:bCs/>
                  <w:sz w:val="20"/>
                  <w:szCs w:val="20"/>
                  <w:lang w:eastAsia="ru-RU"/>
                </w:rPr>
                <w:t>законом</w:t>
              </w:r>
            </w:hyperlink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 xml:space="preserve">  </w:t>
              <w:br/>
              <w:t>от 21 декабря 2001 г. № 178-ФЗ «О приватизации государственного и муниципального имущества».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397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Одновременно с Заявкой на участие в продаже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397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u w:val="single"/>
                <w:lang w:eastAsia="ru-RU"/>
              </w:rPr>
              <w:t>Юридические лица</w:t>
            </w: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ru-RU"/>
              </w:rPr>
              <w:t>: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1) заверенные копии учредительных документов;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Физические лица, в том числе индивидуальные предприниматели предъявляют документ, удостоверяющий личность, или представляют копии всех его листов.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</w:t>
            </w:r>
          </w:p>
          <w:p>
            <w:pPr>
              <w:pStyle w:val="Normal"/>
              <w:spacing w:lineRule="auto" w:line="24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Изменение заявки допускается только путем подачи претендентом новой заявки в сроки, установленные в сообщении о проведении продажи, при этом первоначальная заявка должна быть отозвана.</w:t>
            </w:r>
          </w:p>
          <w:p>
            <w:pPr>
              <w:pStyle w:val="Normal"/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u w:val="single"/>
              </w:rPr>
              <w:t>Физические лица: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представляют копии всех листов документа, удостоверяющего личность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      </w:r>
          </w:p>
          <w:p>
            <w:pPr>
              <w:pStyle w:val="Normal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ind w:firstLine="54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Основания для отказа претенденту участвовать в аукционе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Претендент не допускается к участию в аукционе по следующим основаниям:</w:t>
            </w:r>
          </w:p>
          <w:p>
            <w:pPr>
              <w:pStyle w:val="ConsPlusNormal1"/>
              <w:widowControl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представленные документы не подтверждают право претендента быть покупателем в соответствии с законодательством Российской Федерации;</w:t>
            </w:r>
          </w:p>
          <w:p>
            <w:pPr>
              <w:pStyle w:val="ConsPlusNormal1"/>
              <w:widowControl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      </w:r>
          </w:p>
          <w:p>
            <w:pPr>
              <w:pStyle w:val="ConsPlusNormal1"/>
              <w:widowControl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заявка подана лицом, не уполномоченным претендентом на осуществление таких действий;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не подтверждено поступление в установленный срок задатка на счета, указанные в информационном сообщении.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</w:t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Срок заключения договора купли-продажи имущества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По результатам торгов продавец и победитель продажи посредством публичного предложения (покупатель) в 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течение 5 рабочих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дней со дня подведения итогов аукциона заключают в соответствии с </w:t>
            </w:r>
            <w:hyperlink r:id="rId5">
              <w:r>
                <w:rPr>
                  <w:rStyle w:val="Style7"/>
                  <w:rFonts w:ascii="Times New Roman" w:hAnsi="Times New Roman"/>
                  <w:sz w:val="20"/>
                  <w:szCs w:val="20"/>
                </w:rPr>
                <w:t>законодательством</w:t>
              </w:r>
            </w:hyperlink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Российской Федерации договор купли-продажи имущества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</w:t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Порядок ознакомления покупателей с иной информацией, условиями договора купли-продажи имущества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Информация о проведении продаж посредством публичного предложения имущества размещается на официальном сайте Российской Федерации в сети «Интернет» </w:t>
            </w:r>
            <w:hyperlink r:id="rId6">
              <w:r>
                <w:rPr>
                  <w:rStyle w:val="Style7"/>
                  <w:rFonts w:eastAsia="Times New Roman" w:cs="Times New Roman" w:ascii="Times New Roman" w:hAnsi="Times New Roman"/>
                  <w:color w:val="0000FF"/>
                  <w:sz w:val="20"/>
                  <w:szCs w:val="20"/>
                  <w:u w:val="single"/>
                  <w:lang w:eastAsia="ru-RU"/>
                </w:rPr>
                <w:t>www.torgi.gov.ru</w:t>
              </w:r>
            </w:hyperlink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, на сайте электронной площадки </w:t>
            </w:r>
            <w:hyperlink r:id="rId7">
              <w:r>
                <w:rPr>
                  <w:rStyle w:val="Style7"/>
                  <w:rFonts w:eastAsia="Times New Roman" w:cs="Times New Roman" w:ascii="Times New Roman" w:hAnsi="Times New Roman"/>
                  <w:color w:val="0000FF"/>
                  <w:sz w:val="20"/>
                  <w:szCs w:val="20"/>
                  <w:u w:val="single"/>
                  <w:lang w:eastAsia="ru-RU"/>
                </w:rPr>
                <w:t>www.roseltorg.ru</w:t>
              </w:r>
            </w:hyperlink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С дополнительной информацией об участии в торгах,  по телефону: </w:t>
            </w:r>
            <w:r>
              <w:rPr>
                <w:rFonts w:eastAsia="Times New Roman" w:cs="TimesNewRomanPSMT" w:ascii="TimesNewRomanPSMT" w:hAnsi="TimesNewRomanPSMT"/>
                <w:b/>
                <w:sz w:val="20"/>
                <w:szCs w:val="20"/>
                <w:lang w:eastAsia="ru-RU"/>
              </w:rPr>
              <w:t xml:space="preserve"> +7(4212)34-04-</w:t>
            </w:r>
            <w:r>
              <w:rPr>
                <w:rFonts w:eastAsia="Calibri" w:cs="TimesNewRomanPSMT" w:ascii="TimesNewRomanPSMT" w:hAnsi="TimesNewRomanPSMT"/>
                <w:b/>
                <w:color w:val="auto"/>
                <w:kern w:val="0"/>
                <w:sz w:val="20"/>
                <w:szCs w:val="20"/>
                <w:lang w:val="ru-RU" w:eastAsia="en-US" w:bidi="ar-SA"/>
              </w:rPr>
              <w:t>86</w:t>
            </w:r>
            <w:r>
              <w:rPr>
                <w:rFonts w:eastAsia="Times New Roman" w:cs="TimesNewRomanPSMT" w:ascii="TimesNewRomanPSMT" w:hAnsi="TimesNewRomanPSMT"/>
                <w:b/>
                <w:sz w:val="20"/>
                <w:szCs w:val="20"/>
                <w:lang w:eastAsia="ru-RU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bookmarkStart w:id="2" w:name="_GoBack"/>
            <w:bookmarkEnd w:id="2"/>
            <w:r>
              <w:rPr>
                <w:rFonts w:eastAsia="Times New Roman" w:cs="TimesNewRomanPSMT" w:ascii="Times New Roman" w:hAnsi="Times New Roman"/>
                <w:b/>
                <w:sz w:val="20"/>
                <w:szCs w:val="20"/>
                <w:shd w:fill="auto" w:val="clear"/>
                <w:lang w:eastAsia="ru-RU"/>
              </w:rPr>
              <w:t xml:space="preserve">Контактное лицо </w:t>
            </w:r>
            <w:r>
              <w:rPr>
                <w:rFonts w:eastAsia="Calibri" w:cs="TimesNewRomanPSMT" w:ascii="Times New Roman" w:hAnsi="Times New Roman"/>
                <w:b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Николенко Антон Александрович 8-914-197-86-29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</w:t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Ограничения участия отдельных категорий физических лиц и юридических лиц в приватизации имущества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NewRoman" w:ascii="TimesNewRoman" w:hAnsi="TimesNewRoman"/>
                <w:color w:val="000000"/>
                <w:sz w:val="20"/>
                <w:szCs w:val="20"/>
                <w:lang w:eastAsia="ru-RU"/>
              </w:rPr>
              <w:t xml:space="preserve">Лица, отвечающие признакам покупателя в соответствии с Федеральным законом </w:t>
              <w:br/>
              <w:t>от 21 декабря 2001 г. № 178-ФЗ  и желающие приобрести федеральное имущество, выставляемое на продажу посредством публичного предложения,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      </w:r>
          </w:p>
          <w:p>
            <w:pPr>
              <w:pStyle w:val="Normal"/>
              <w:spacing w:lineRule="auto" w:line="240" w:before="0" w:after="0"/>
              <w:ind w:firstLine="72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Покупателями государственного имущества могут быть любые физические и юридические лица, за исключением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случаев ограничения участия лиц, предусмотренных статьей 5 Федерального закона от 21 декабря 2001 г. № 178-ФЗ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государственных и муниципальных унитарных предприятий, государственных и муниципальных учреждений;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юридических лиц, в отношении которых офшорной компанией или группой лиц, в которую входит офшорная компания, осуществляется контроль.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</w:t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Порядок определения победителей при проведении аукциона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firstLine="624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Процедура продажи имущества проводится в день и во время, указанное в информационном сообщении о продаже имущества посредством публичного предложения, путем последовательного понижения цены первоначального предложения (цена имущества, указанная в информационном сообщении) на величину, равную величине «шага понижения», но не ниже цены отсечения.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firstLine="567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«Шаг понижения» устанавливается Продавцом в фиксированной сумме, составляющей не более 10 процентов цены первоначального предложения, и не изменяется в течение всей процедуры продажи имущества посредством публичного предложения.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firstLine="567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«шаге понижения».</w:t>
            </w:r>
          </w:p>
          <w:p>
            <w:pPr>
              <w:pStyle w:val="Normal"/>
              <w:spacing w:lineRule="auto" w:line="240" w:before="0" w:after="0"/>
              <w:ind w:firstLine="851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Победителем признается участник, который подтвердил цену первоначального предложения или цену предложения, сложившуюся на соответствующем «шаге понижения», при отсутствии предложений других участников.</w:t>
            </w:r>
          </w:p>
          <w:p>
            <w:pPr>
              <w:pStyle w:val="Normal"/>
              <w:spacing w:lineRule="auto" w:line="240" w:before="0" w:after="0"/>
              <w:ind w:firstLine="851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В случае если несколько участников подтверждают цену первоначального предложения или цену предложения, сложившуюся на одном из «шагов понижения», со всеми участниками проводится аукцион в порядке, установленном разделом II Положения об организации и проведении продажи государственного или муниципального имущества в электронной форме (постановление Правительства Российской Федерации </w:t>
              <w:br/>
              <w:t>от 27 августа 2012 г. № 860 «Об организации и проведении продажи государственного или муниципального имущества в электронной форме»). Начальной ценой имущества на аукционе является соответственно цена первоначального предложения или цена предложения, сложившаяся на данном «шаге понижения». Время приема предложений участников о цене имущества составляет 10 минут. «Шаг аукциона» устанавливается Продавцом в фиксированной сумме, составляющей не более 50 процентов «шага понижения», и не изменяется в течение всей процедуры продажи имущества посредством публичного предложения.</w:t>
            </w:r>
          </w:p>
          <w:p>
            <w:pPr>
              <w:pStyle w:val="Normal"/>
              <w:spacing w:lineRule="auto" w:line="240" w:before="0" w:after="0"/>
              <w:ind w:firstLine="851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В случае если участники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</w:t>
            </w:r>
          </w:p>
          <w:p>
            <w:pPr>
              <w:pStyle w:val="Normal"/>
              <w:spacing w:lineRule="auto" w:line="240" w:before="0" w:after="0"/>
              <w:ind w:firstLine="851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Ход проведения процедуры продажи имущества посредством публичного предложения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продажи.</w:t>
            </w:r>
          </w:p>
          <w:p>
            <w:pPr>
              <w:pStyle w:val="Normal"/>
              <w:spacing w:lineRule="auto" w:line="240" w:before="0" w:after="0"/>
              <w:ind w:firstLine="851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Протокол об итогах продажи имущества посредством публичного предложения,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от Организатора электронного журнала.</w:t>
            </w:r>
          </w:p>
          <w:p>
            <w:pPr>
              <w:pStyle w:val="Normal"/>
              <w:spacing w:lineRule="auto" w:line="240" w:before="0" w:after="0"/>
              <w:ind w:firstLine="851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продажи.</w:t>
            </w:r>
          </w:p>
        </w:tc>
      </w:tr>
      <w:tr>
        <w:trPr/>
        <w:tc>
          <w:tcPr>
            <w:tcW w:w="6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</w:t>
            </w:r>
          </w:p>
        </w:tc>
        <w:tc>
          <w:tcPr>
            <w:tcW w:w="260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Сведения обо всех предыдущих торгах по продаже имущества.</w:t>
            </w:r>
          </w:p>
        </w:tc>
        <w:tc>
          <w:tcPr>
            <w:tcW w:w="697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Продажа путем проведения аукциона.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Извещение о продаже имущества № 2200005479000000052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от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01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09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.2026 (аукцион признан не состоявшимся по основаниям отсутствия заявок на участие).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r>
        <w:br w:type="page"/>
      </w:r>
    </w:p>
    <w:p>
      <w:pPr>
        <w:pStyle w:val="Normal"/>
        <w:spacing w:before="0" w:after="20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Перечень высвобождаемого движимого военного имущества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W w:w="9775" w:type="dxa"/>
        <w:jc w:val="start"/>
        <w:tblInd w:w="79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77"/>
        <w:gridCol w:w="3980"/>
        <w:gridCol w:w="1261"/>
        <w:gridCol w:w="1491"/>
        <w:gridCol w:w="2466"/>
      </w:tblGrid>
      <w:tr>
        <w:trPr>
          <w:tblHeader w:val="true"/>
          <w:trHeight w:val="1464" w:hRule="atLeast"/>
        </w:trPr>
        <w:tc>
          <w:tcPr>
            <w:tcW w:w="5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п/п</w:t>
            </w:r>
          </w:p>
        </w:tc>
        <w:tc>
          <w:tcPr>
            <w:tcW w:w="398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Наименование имущества</w:t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Ед. изм.</w:t>
            </w:r>
          </w:p>
        </w:tc>
        <w:tc>
          <w:tcPr>
            <w:tcW w:w="14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Кол-во</w:t>
            </w:r>
          </w:p>
        </w:tc>
        <w:tc>
          <w:tcPr>
            <w:tcW w:w="246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Качественное состояние (техническое состояние, категория)</w:t>
            </w:r>
          </w:p>
        </w:tc>
      </w:tr>
      <w:tr>
        <w:trPr>
          <w:trHeight w:val="20" w:hRule="atLeast"/>
        </w:trPr>
        <w:tc>
          <w:tcPr>
            <w:tcW w:w="57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start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Карбюратор (К-151Е)</w:t>
            </w:r>
          </w:p>
        </w:tc>
        <w:tc>
          <w:tcPr>
            <w:tcW w:w="1261" w:type="dxa"/>
            <w:tcBorders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2"/>
                <w:szCs w:val="22"/>
              </w:rPr>
            </w:pPr>
            <w:r>
              <w:rPr>
                <w:rFonts w:ascii="Tinos" w:hAnsi="Tinos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49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1</w:t>
            </w:r>
          </w:p>
        </w:tc>
        <w:tc>
          <w:tcPr>
            <w:tcW w:w="2466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nos" w:hAnsi="Tinos" w:cs="Nimbus Roman"/>
                <w:sz w:val="22"/>
                <w:szCs w:val="22"/>
              </w:rPr>
            </w:pPr>
            <w:r>
              <w:rPr>
                <w:rFonts w:cs="Nimbus Roman" w:ascii="Tinos" w:hAnsi="Tinos"/>
                <w:sz w:val="22"/>
                <w:szCs w:val="22"/>
              </w:rPr>
              <w:t>технически исправен</w:t>
            </w:r>
          </w:p>
        </w:tc>
      </w:tr>
      <w:tr>
        <w:trPr>
          <w:trHeight w:val="20" w:hRule="atLeast"/>
        </w:trPr>
        <w:tc>
          <w:tcPr>
            <w:tcW w:w="57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start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Крестовина карданного вала 2121-2202025</w:t>
            </w:r>
          </w:p>
        </w:tc>
        <w:tc>
          <w:tcPr>
            <w:tcW w:w="1261" w:type="dxa"/>
            <w:tcBorders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2"/>
                <w:szCs w:val="22"/>
              </w:rPr>
            </w:pPr>
            <w:r>
              <w:rPr>
                <w:rFonts w:ascii="Tinos" w:hAnsi="Tinos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49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6</w:t>
            </w:r>
          </w:p>
        </w:tc>
        <w:tc>
          <w:tcPr>
            <w:tcW w:w="2466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nos" w:hAnsi="Tinos" w:cs="Nimbus Roman"/>
                <w:sz w:val="22"/>
                <w:szCs w:val="22"/>
              </w:rPr>
            </w:pPr>
            <w:r>
              <w:rPr>
                <w:rFonts w:cs="Nimbus Roman" w:ascii="Tinos" w:hAnsi="Tinos"/>
                <w:sz w:val="22"/>
                <w:szCs w:val="22"/>
              </w:rPr>
              <w:t>технически исправен</w:t>
            </w:r>
          </w:p>
        </w:tc>
      </w:tr>
      <w:tr>
        <w:trPr>
          <w:trHeight w:val="20" w:hRule="atLeast"/>
        </w:trPr>
        <w:tc>
          <w:tcPr>
            <w:tcW w:w="57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start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Крестовина карданного вала 2121-2202025</w:t>
            </w:r>
          </w:p>
        </w:tc>
        <w:tc>
          <w:tcPr>
            <w:tcW w:w="1261" w:type="dxa"/>
            <w:tcBorders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2"/>
                <w:szCs w:val="22"/>
              </w:rPr>
            </w:pPr>
            <w:r>
              <w:rPr>
                <w:rFonts w:ascii="Tinos" w:hAnsi="Tinos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49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1</w:t>
            </w:r>
          </w:p>
        </w:tc>
        <w:tc>
          <w:tcPr>
            <w:tcW w:w="2466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nos" w:hAnsi="Tinos" w:cs="Nimbus Roman"/>
                <w:sz w:val="22"/>
                <w:szCs w:val="22"/>
              </w:rPr>
            </w:pPr>
            <w:r>
              <w:rPr>
                <w:rFonts w:cs="Nimbus Roman" w:ascii="Tinos" w:hAnsi="Tinos"/>
                <w:sz w:val="22"/>
                <w:szCs w:val="22"/>
              </w:rPr>
              <w:t>технически исправен</w:t>
            </w:r>
          </w:p>
        </w:tc>
      </w:tr>
      <w:tr>
        <w:trPr>
          <w:trHeight w:val="20" w:hRule="atLeast"/>
        </w:trPr>
        <w:tc>
          <w:tcPr>
            <w:tcW w:w="57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start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Крестовина на вал карданный 469</w:t>
            </w:r>
          </w:p>
        </w:tc>
        <w:tc>
          <w:tcPr>
            <w:tcW w:w="1261" w:type="dxa"/>
            <w:tcBorders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2"/>
                <w:szCs w:val="22"/>
              </w:rPr>
            </w:pPr>
            <w:r>
              <w:rPr>
                <w:rFonts w:ascii="Tinos" w:hAnsi="Tinos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49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5</w:t>
            </w:r>
          </w:p>
        </w:tc>
        <w:tc>
          <w:tcPr>
            <w:tcW w:w="2466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nos" w:hAnsi="Tinos" w:cs="Nimbus Roman"/>
                <w:sz w:val="22"/>
                <w:szCs w:val="22"/>
              </w:rPr>
            </w:pPr>
            <w:r>
              <w:rPr>
                <w:rFonts w:cs="Nimbus Roman" w:ascii="Tinos" w:hAnsi="Tinos"/>
                <w:sz w:val="22"/>
                <w:szCs w:val="22"/>
              </w:rPr>
              <w:t>технически исправен</w:t>
            </w:r>
          </w:p>
        </w:tc>
      </w:tr>
      <w:tr>
        <w:trPr>
          <w:trHeight w:val="20" w:hRule="atLeast"/>
        </w:trPr>
        <w:tc>
          <w:tcPr>
            <w:tcW w:w="57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0"/>
                <w:szCs w:val="20"/>
              </w:rPr>
              <w:t>5</w:t>
            </w:r>
          </w:p>
        </w:tc>
        <w:tc>
          <w:tcPr>
            <w:tcW w:w="39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start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Муфта эластичная 2123-2202120Р</w:t>
            </w:r>
          </w:p>
        </w:tc>
        <w:tc>
          <w:tcPr>
            <w:tcW w:w="1261" w:type="dxa"/>
            <w:tcBorders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2"/>
                <w:szCs w:val="22"/>
              </w:rPr>
            </w:pPr>
            <w:r>
              <w:rPr>
                <w:rFonts w:ascii="Tinos" w:hAnsi="Tinos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49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1</w:t>
            </w:r>
          </w:p>
        </w:tc>
        <w:tc>
          <w:tcPr>
            <w:tcW w:w="2466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nos" w:hAnsi="Tinos" w:cs="Nimbus Roman"/>
                <w:sz w:val="22"/>
                <w:szCs w:val="22"/>
              </w:rPr>
            </w:pPr>
            <w:r>
              <w:rPr>
                <w:rFonts w:cs="Nimbus Roman" w:ascii="Tinos" w:hAnsi="Tinos"/>
                <w:sz w:val="22"/>
                <w:szCs w:val="22"/>
              </w:rPr>
              <w:t>технически исправен</w:t>
            </w:r>
          </w:p>
        </w:tc>
      </w:tr>
      <w:tr>
        <w:trPr>
          <w:trHeight w:val="20" w:hRule="atLeast"/>
        </w:trPr>
        <w:tc>
          <w:tcPr>
            <w:tcW w:w="57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0"/>
                <w:szCs w:val="20"/>
              </w:rPr>
              <w:t>6</w:t>
            </w:r>
          </w:p>
        </w:tc>
        <w:tc>
          <w:tcPr>
            <w:tcW w:w="39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start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Насос водяной 21214-1307010-75</w:t>
            </w:r>
          </w:p>
        </w:tc>
        <w:tc>
          <w:tcPr>
            <w:tcW w:w="1261" w:type="dxa"/>
            <w:tcBorders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2"/>
                <w:szCs w:val="22"/>
              </w:rPr>
            </w:pPr>
            <w:r>
              <w:rPr>
                <w:rFonts w:ascii="Tinos" w:hAnsi="Tinos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49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1</w:t>
            </w:r>
          </w:p>
        </w:tc>
        <w:tc>
          <w:tcPr>
            <w:tcW w:w="2466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nos" w:hAnsi="Tinos" w:cs="Nimbus Roman"/>
                <w:sz w:val="22"/>
                <w:szCs w:val="22"/>
              </w:rPr>
            </w:pPr>
            <w:r>
              <w:rPr>
                <w:rFonts w:cs="Nimbus Roman" w:ascii="Tinos" w:hAnsi="Tinos"/>
                <w:sz w:val="22"/>
                <w:szCs w:val="22"/>
              </w:rPr>
              <w:t>технически исправен</w:t>
            </w:r>
          </w:p>
        </w:tc>
      </w:tr>
      <w:tr>
        <w:trPr>
          <w:trHeight w:val="20" w:hRule="atLeast"/>
        </w:trPr>
        <w:tc>
          <w:tcPr>
            <w:tcW w:w="57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0"/>
                <w:szCs w:val="20"/>
              </w:rPr>
              <w:t>7</w:t>
            </w:r>
          </w:p>
        </w:tc>
        <w:tc>
          <w:tcPr>
            <w:tcW w:w="39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start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Радиатор отопителя салона (469-8101060)</w:t>
            </w:r>
          </w:p>
        </w:tc>
        <w:tc>
          <w:tcPr>
            <w:tcW w:w="1261" w:type="dxa"/>
            <w:tcBorders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2"/>
                <w:szCs w:val="22"/>
              </w:rPr>
            </w:pPr>
            <w:r>
              <w:rPr>
                <w:rFonts w:ascii="Tinos" w:hAnsi="Tinos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49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2</w:t>
            </w:r>
          </w:p>
        </w:tc>
        <w:tc>
          <w:tcPr>
            <w:tcW w:w="2466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nos" w:hAnsi="Tinos" w:cs="Nimbus Roman"/>
                <w:sz w:val="22"/>
                <w:szCs w:val="22"/>
              </w:rPr>
            </w:pPr>
            <w:r>
              <w:rPr>
                <w:rFonts w:cs="Nimbus Roman" w:ascii="Tinos" w:hAnsi="Tinos"/>
                <w:sz w:val="22"/>
                <w:szCs w:val="22"/>
              </w:rPr>
              <w:t>технически исправен</w:t>
            </w:r>
          </w:p>
        </w:tc>
      </w:tr>
      <w:tr>
        <w:trPr>
          <w:trHeight w:val="20" w:hRule="atLeast"/>
        </w:trPr>
        <w:tc>
          <w:tcPr>
            <w:tcW w:w="57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0"/>
                <w:szCs w:val="20"/>
              </w:rPr>
              <w:t>8</w:t>
            </w:r>
          </w:p>
        </w:tc>
        <w:tc>
          <w:tcPr>
            <w:tcW w:w="39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start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Ремень 14*10*1037</w:t>
            </w:r>
          </w:p>
        </w:tc>
        <w:tc>
          <w:tcPr>
            <w:tcW w:w="1261" w:type="dxa"/>
            <w:tcBorders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2"/>
                <w:szCs w:val="22"/>
              </w:rPr>
            </w:pPr>
            <w:r>
              <w:rPr>
                <w:rFonts w:ascii="Tinos" w:hAnsi="Tinos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49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8</w:t>
            </w:r>
          </w:p>
        </w:tc>
        <w:tc>
          <w:tcPr>
            <w:tcW w:w="2466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nos" w:hAnsi="Tinos" w:cs="Nimbus Roman"/>
                <w:sz w:val="22"/>
                <w:szCs w:val="22"/>
              </w:rPr>
            </w:pPr>
            <w:r>
              <w:rPr>
                <w:rFonts w:cs="Nimbus Roman" w:ascii="Tinos" w:hAnsi="Tinos"/>
                <w:sz w:val="22"/>
                <w:szCs w:val="22"/>
              </w:rPr>
              <w:t>технически исправен</w:t>
            </w:r>
          </w:p>
        </w:tc>
      </w:tr>
      <w:tr>
        <w:trPr>
          <w:trHeight w:val="20" w:hRule="atLeast"/>
        </w:trPr>
        <w:tc>
          <w:tcPr>
            <w:tcW w:w="57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0"/>
                <w:szCs w:val="20"/>
              </w:rPr>
              <w:t>9</w:t>
            </w:r>
          </w:p>
        </w:tc>
        <w:tc>
          <w:tcPr>
            <w:tcW w:w="39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start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Ремень привода 6РК 823</w:t>
            </w:r>
          </w:p>
        </w:tc>
        <w:tc>
          <w:tcPr>
            <w:tcW w:w="1261" w:type="dxa"/>
            <w:tcBorders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2"/>
                <w:szCs w:val="22"/>
              </w:rPr>
            </w:pPr>
            <w:r>
              <w:rPr>
                <w:rFonts w:ascii="Tinos" w:hAnsi="Tinos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49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3</w:t>
            </w:r>
          </w:p>
        </w:tc>
        <w:tc>
          <w:tcPr>
            <w:tcW w:w="2466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nos" w:hAnsi="Tinos" w:cs="Nimbus Roman"/>
                <w:sz w:val="22"/>
                <w:szCs w:val="22"/>
              </w:rPr>
            </w:pPr>
            <w:r>
              <w:rPr>
                <w:rFonts w:cs="Nimbus Roman" w:ascii="Tinos" w:hAnsi="Tinos"/>
                <w:sz w:val="22"/>
                <w:szCs w:val="22"/>
              </w:rPr>
              <w:t>технически исправен</w:t>
            </w:r>
          </w:p>
        </w:tc>
      </w:tr>
      <w:tr>
        <w:trPr>
          <w:trHeight w:val="20" w:hRule="atLeast"/>
        </w:trPr>
        <w:tc>
          <w:tcPr>
            <w:tcW w:w="57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9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start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Ремень привода 6РК 823</w:t>
            </w:r>
          </w:p>
        </w:tc>
        <w:tc>
          <w:tcPr>
            <w:tcW w:w="1261" w:type="dxa"/>
            <w:tcBorders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2"/>
                <w:szCs w:val="22"/>
              </w:rPr>
            </w:pPr>
            <w:r>
              <w:rPr>
                <w:rFonts w:ascii="Tinos" w:hAnsi="Tinos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49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2</w:t>
            </w:r>
          </w:p>
        </w:tc>
        <w:tc>
          <w:tcPr>
            <w:tcW w:w="2466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nos" w:hAnsi="Tinos" w:cs="Nimbus Roman"/>
                <w:sz w:val="22"/>
                <w:szCs w:val="22"/>
              </w:rPr>
            </w:pPr>
            <w:r>
              <w:rPr>
                <w:rFonts w:cs="Nimbus Roman" w:ascii="Tinos" w:hAnsi="Tinos"/>
                <w:sz w:val="22"/>
                <w:szCs w:val="22"/>
              </w:rPr>
              <w:t>технически исправен</w:t>
            </w:r>
          </w:p>
        </w:tc>
      </w:tr>
      <w:tr>
        <w:trPr>
          <w:trHeight w:val="20" w:hRule="atLeast"/>
        </w:trPr>
        <w:tc>
          <w:tcPr>
            <w:tcW w:w="57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9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start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Ремень 6РК 883</w:t>
            </w:r>
          </w:p>
        </w:tc>
        <w:tc>
          <w:tcPr>
            <w:tcW w:w="1261" w:type="dxa"/>
            <w:tcBorders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2"/>
                <w:szCs w:val="22"/>
              </w:rPr>
            </w:pPr>
            <w:r>
              <w:rPr>
                <w:rFonts w:ascii="Tinos" w:hAnsi="Tinos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49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3</w:t>
            </w:r>
          </w:p>
        </w:tc>
        <w:tc>
          <w:tcPr>
            <w:tcW w:w="2466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nos" w:hAnsi="Tinos" w:cs="Nimbus Roman"/>
                <w:sz w:val="22"/>
                <w:szCs w:val="22"/>
              </w:rPr>
            </w:pPr>
            <w:r>
              <w:rPr>
                <w:rFonts w:cs="Nimbus Roman" w:ascii="Tinos" w:hAnsi="Tinos"/>
                <w:sz w:val="22"/>
                <w:szCs w:val="22"/>
              </w:rPr>
              <w:t>технически исправен</w:t>
            </w:r>
          </w:p>
        </w:tc>
      </w:tr>
      <w:tr>
        <w:trPr>
          <w:trHeight w:val="20" w:hRule="atLeast"/>
        </w:trPr>
        <w:tc>
          <w:tcPr>
            <w:tcW w:w="57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9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start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Ремень 6РК 890</w:t>
            </w:r>
          </w:p>
        </w:tc>
        <w:tc>
          <w:tcPr>
            <w:tcW w:w="1261" w:type="dxa"/>
            <w:tcBorders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2"/>
                <w:szCs w:val="22"/>
              </w:rPr>
            </w:pPr>
            <w:r>
              <w:rPr>
                <w:rFonts w:ascii="Tinos" w:hAnsi="Tinos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49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2</w:t>
            </w:r>
          </w:p>
        </w:tc>
        <w:tc>
          <w:tcPr>
            <w:tcW w:w="2466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nos" w:hAnsi="Tinos" w:cs="Nimbus Roman"/>
                <w:sz w:val="22"/>
                <w:szCs w:val="22"/>
              </w:rPr>
            </w:pPr>
            <w:r>
              <w:rPr>
                <w:rFonts w:cs="Nimbus Roman" w:ascii="Tinos" w:hAnsi="Tinos"/>
                <w:sz w:val="22"/>
                <w:szCs w:val="22"/>
              </w:rPr>
              <w:t>технически исправен</w:t>
            </w:r>
          </w:p>
        </w:tc>
      </w:tr>
      <w:tr>
        <w:trPr>
          <w:trHeight w:val="20" w:hRule="atLeast"/>
        </w:trPr>
        <w:tc>
          <w:tcPr>
            <w:tcW w:w="57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9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start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Ремень 4РК 950</w:t>
            </w:r>
          </w:p>
        </w:tc>
        <w:tc>
          <w:tcPr>
            <w:tcW w:w="1261" w:type="dxa"/>
            <w:tcBorders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2"/>
                <w:szCs w:val="22"/>
              </w:rPr>
            </w:pPr>
            <w:r>
              <w:rPr>
                <w:rFonts w:ascii="Tinos" w:hAnsi="Tinos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49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1</w:t>
            </w:r>
          </w:p>
        </w:tc>
        <w:tc>
          <w:tcPr>
            <w:tcW w:w="2466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nos" w:hAnsi="Tinos" w:cs="Nimbus Roman"/>
                <w:sz w:val="22"/>
                <w:szCs w:val="22"/>
              </w:rPr>
            </w:pPr>
            <w:r>
              <w:rPr>
                <w:rFonts w:cs="Nimbus Roman" w:ascii="Tinos" w:hAnsi="Tinos"/>
                <w:sz w:val="22"/>
                <w:szCs w:val="22"/>
              </w:rPr>
              <w:t>технически исправен</w:t>
            </w:r>
          </w:p>
        </w:tc>
      </w:tr>
      <w:tr>
        <w:trPr>
          <w:trHeight w:val="20" w:hRule="atLeast"/>
        </w:trPr>
        <w:tc>
          <w:tcPr>
            <w:tcW w:w="57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9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start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Сальник хвостовика (42х68х10/14,5) 374100170121003</w:t>
            </w:r>
          </w:p>
        </w:tc>
        <w:tc>
          <w:tcPr>
            <w:tcW w:w="1261" w:type="dxa"/>
            <w:tcBorders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2"/>
                <w:szCs w:val="22"/>
              </w:rPr>
            </w:pPr>
            <w:r>
              <w:rPr>
                <w:rFonts w:ascii="Tinos" w:hAnsi="Tinos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49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10</w:t>
            </w:r>
          </w:p>
        </w:tc>
        <w:tc>
          <w:tcPr>
            <w:tcW w:w="2466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nos" w:hAnsi="Tinos" w:cs="Nimbus Roman"/>
                <w:sz w:val="22"/>
                <w:szCs w:val="22"/>
              </w:rPr>
            </w:pPr>
            <w:r>
              <w:rPr>
                <w:rFonts w:cs="Nimbus Roman" w:ascii="Tinos" w:hAnsi="Tinos"/>
                <w:sz w:val="22"/>
                <w:szCs w:val="22"/>
              </w:rPr>
              <w:t>технически исправен</w:t>
            </w:r>
          </w:p>
        </w:tc>
      </w:tr>
      <w:tr>
        <w:trPr>
          <w:trHeight w:val="20" w:hRule="atLeast"/>
        </w:trPr>
        <w:tc>
          <w:tcPr>
            <w:tcW w:w="57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9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start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Сальник хвостовика (42х75х10/15,5) 316000240205203</w:t>
            </w:r>
          </w:p>
        </w:tc>
        <w:tc>
          <w:tcPr>
            <w:tcW w:w="1261" w:type="dxa"/>
            <w:tcBorders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2"/>
                <w:szCs w:val="22"/>
              </w:rPr>
            </w:pPr>
            <w:r>
              <w:rPr>
                <w:rFonts w:ascii="Tinos" w:hAnsi="Tinos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49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10</w:t>
            </w:r>
          </w:p>
        </w:tc>
        <w:tc>
          <w:tcPr>
            <w:tcW w:w="2466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nos" w:hAnsi="Tinos" w:cs="Nimbus Roman"/>
                <w:sz w:val="22"/>
                <w:szCs w:val="22"/>
              </w:rPr>
            </w:pPr>
            <w:r>
              <w:rPr>
                <w:rFonts w:cs="Nimbus Roman" w:ascii="Tinos" w:hAnsi="Tinos"/>
                <w:sz w:val="22"/>
                <w:szCs w:val="22"/>
              </w:rPr>
              <w:t>технически исправен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nos" w:hAnsi="Tinos"/>
          <w:sz w:val="22"/>
          <w:szCs w:val="22"/>
        </w:rPr>
      </w:pPr>
      <w:r>
        <w:rPr>
          <w:rFonts w:ascii="Tinos" w:hAnsi="Tinos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sz w:val="22"/>
          <w:szCs w:val="22"/>
        </w:rPr>
      </w:pPr>
      <w:r>
        <w:rPr>
          <w:rFonts w:eastAsia="Times New Roman" w:cs="Times New Roman" w:ascii="Tinos" w:hAnsi="Tinos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2"/>
          <w:szCs w:val="22"/>
          <w:u w:val="none"/>
          <w:em w:val="none"/>
          <w:lang w:val="ru-RU" w:eastAsia="ru-RU" w:bidi="ar-SA"/>
        </w:rPr>
        <w:t>М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2"/>
          <w:szCs w:val="22"/>
          <w:u w:val="none"/>
          <w:em w:val="none"/>
          <w:lang w:val="ru-RU" w:eastAsia="ru-RU" w:bidi="ar-SA"/>
        </w:rPr>
        <w:t xml:space="preserve">есто нахождения имущества: </w:t>
      </w:r>
      <w:r>
        <w:rPr>
          <w:rFonts w:eastAsia="Calibri" w:cs="Tinos" w:ascii="Tinos" w:hAnsi="Tinos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2"/>
          <w:szCs w:val="22"/>
          <w:u w:val="none"/>
          <w:em w:val="none"/>
          <w:lang w:val="ru-RU" w:eastAsia="en-US" w:bidi="ar-SA"/>
        </w:rPr>
        <w:t>675000, Амурская область, г. Благовещенск, ул. Октябрьская, д.137,  Управление Росгвардии по Амурской области</w:t>
      </w:r>
    </w:p>
    <w:p>
      <w:pPr>
        <w:pStyle w:val="HTMLPreformatted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TMLPreformatted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TMLPreformatted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TMLPreformatted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TMLPreformatted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TMLPreformatted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TMLPreformatted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r>
        <w:br w:type="page"/>
      </w:r>
    </w:p>
    <w:p>
      <w:pPr>
        <w:pStyle w:val="HTMLPreformatted"/>
        <w:spacing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2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76" w:leader="none"/>
        </w:tabs>
        <w:spacing w:lineRule="auto" w:line="240" w:before="0" w:after="0"/>
        <w:ind w:hanging="576" w:start="576"/>
        <w:contextualSpacing/>
        <w:jc w:val="center"/>
        <w:outlineLvl w:val="1"/>
        <w:rPr>
          <w:rFonts w:ascii="Arial" w:hAnsi="Arial" w:eastAsia="Times New Roman" w:cs="Times New Roman"/>
          <w:color w:val="000000"/>
          <w:sz w:val="24"/>
          <w:szCs w:val="24"/>
          <w:lang w:eastAsia="ru-RU"/>
        </w:rPr>
      </w:pPr>
      <w:bookmarkStart w:id="3" w:name="_Toc222021414"/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>ФОРМА ЗАЯВКИ НА УЧАСТИЕ В</w:t>
      </w:r>
      <w:bookmarkEnd w:id="3"/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 xml:space="preserve"> торгах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(для физического лица)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1. Изучив условия документации в лице ________________________________________________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(Ф.И.О.)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сообщаю о согласии принять участие в торгах посредством публичного предложения и в случае признания победителем, заключить с Продавцом договор купли-продажи высвобождаемого движимого военного имущества.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2. Сообщаю о себе: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Адрес места регистрации: 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Почтовый адрес: 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Телефон___________________________________________________________________________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Факс______________________________________________________________________________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Электронный адрес__________________________________________________________________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Паспорт___________________________________________________________________________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ИНН 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Фамилии лиц, уполномоченных действовать от имени  претендента (доверенность прикладывается)</w:t>
      </w:r>
      <w:r>
        <w:rPr>
          <w:rFonts w:eastAsia="Times New Roman" w:cs="Times New Roman" w:ascii="Courier New" w:hAnsi="Courier New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___________________________________________________________________________________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3. В случае объявления меня победителем, обязуюсь подписать договор в течение 5 дней.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_______________________                ____________________________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 xml:space="preserve">                                        </w:t>
        <w:tab/>
        <w:t xml:space="preserve">                               (подпись)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              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(Фамилия И.О.)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3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76" w:leader="none"/>
        </w:tabs>
        <w:spacing w:lineRule="auto" w:line="240" w:before="0" w:after="0"/>
        <w:ind w:hanging="576" w:start="576"/>
        <w:contextualSpacing/>
        <w:jc w:val="center"/>
        <w:outlineLvl w:val="1"/>
        <w:rPr>
          <w:rFonts w:ascii="Arial" w:hAnsi="Arial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>ФОРМА ЗАЯВКИ НА УЧАСТИЕ В торгах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для юридического лица</w:t>
      </w:r>
    </w:p>
    <w:p>
      <w:pPr>
        <w:pStyle w:val="Normal"/>
        <w:widowControl w:val="false"/>
        <w:spacing w:lineRule="auto" w:line="240" w:before="60" w:after="0"/>
        <w:contextualSpacing/>
        <w:jc w:val="center"/>
        <w:textAlignment w:val="baseline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1. Изучив условия документации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__________________________________________________________________________________,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(наименование организации)</w:t>
      </w:r>
    </w:p>
    <w:p>
      <w:pPr>
        <w:pStyle w:val="Normal"/>
        <w:widowControl w:val="false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в лице 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(наименование должности руководителя и его Ф.И.О.)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сообщает о согласии принять участие в торгах посредством публичного предложения и в случае признания победителем, заключить с Продавцом договор купли-продажи высвобождаемого движимого военного имущества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2. Сообщаем о себе следующее: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Наименование организации:  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Местонахождение: 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Почтовый адрес: 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Телефон:___________________________________________________________________________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Факс:______________________________________________________________________________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электронный адрес:__________________________________________________________________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Организационно - правовая форма: 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Дата, место и орган регистрации организации: __________________________________________ 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ИНН______________________________________________________________________________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КПП______________________________________________________________________________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ОГРН_____________________________________________________________________________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Банковские реквизиты: 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БИК______________________________________________________________________________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Фамилии лиц, уполномоченных действовать от имени организации с правом подписи юридических и банковских документов ___________________________________________________________________________________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3. В случае объявления нас победителем, обязуемся подписать договор в течение 5 дней.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Руководитель                ________________________                ____________________________</w:t>
      </w:r>
    </w:p>
    <w:p>
      <w:pPr>
        <w:pStyle w:val="Normal"/>
        <w:widowControl w:val="false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 xml:space="preserve">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ab/>
        <w:t xml:space="preserve">                            (подпись)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              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(Фамилия И.О.)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624" w:gutter="0" w:header="0" w:top="624" w:footer="0" w:bottom="62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Times New Roman">
    <w:charset w:val="01"/>
    <w:family w:val="roman"/>
    <w:pitch w:val="default"/>
  </w:font>
  <w:font w:name="Courier New">
    <w:charset w:val="01"/>
    <w:family w:val="roman"/>
    <w:pitch w:val="default"/>
  </w:font>
  <w:font w:name="Arial">
    <w:charset w:val="01"/>
    <w:family w:val="swiss"/>
    <w:pitch w:val="default"/>
  </w:font>
  <w:font w:name="Tahoma">
    <w:charset w:val="01"/>
    <w:family w:val="roman"/>
    <w:pitch w:val="default"/>
  </w:font>
  <w:font w:name="Arial Unicode MS">
    <w:charset w:val="01"/>
    <w:family w:val="roman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Times New Roman CYR">
    <w:charset w:val="01"/>
    <w:family w:val="roman"/>
    <w:pitch w:val="default"/>
  </w:font>
  <w:font w:name="TimesNewRomanPSMT">
    <w:charset w:val="01"/>
    <w:family w:val="roman"/>
    <w:pitch w:val="default"/>
  </w:font>
  <w:font w:name="TimesNewRoman">
    <w:charset w:val="01"/>
    <w:family w:val="roman"/>
    <w:pitch w:val="default"/>
  </w:font>
  <w:font w:name="Tinos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36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2">
    <w:name w:val="heading 2"/>
    <w:basedOn w:val="user2"/>
    <w:next w:val="BodyText"/>
    <w:qFormat/>
    <w:pPr>
      <w:spacing w:before="200" w:after="120"/>
      <w:outlineLvl w:val="1"/>
    </w:pPr>
    <w:rPr>
      <w:rFonts w:ascii="Liberation Serif" w:hAnsi="Liberation Serif" w:eastAsia="Tahoma" w:cs="Tahoma"/>
      <w:b/>
      <w:bCs/>
      <w:sz w:val="36"/>
      <w:szCs w:val="36"/>
    </w:rPr>
  </w:style>
  <w:style w:type="paragraph" w:styleId="Heading5">
    <w:name w:val="heading 5"/>
    <w:basedOn w:val="Normal"/>
    <w:qFormat/>
    <w:rsid w:val="00ca4d4e"/>
    <w:pPr>
      <w:keepNext w:val="true"/>
      <w:spacing w:lineRule="auto" w:line="240" w:before="0" w:after="0"/>
      <w:ind w:hanging="0" w:start="1531"/>
      <w:jc w:val="center"/>
      <w:outlineLvl w:val="4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5" w:customStyle="1">
    <w:name w:val="Заголовок 5 Знак"/>
    <w:basedOn w:val="DefaultParagraphFont"/>
    <w:qFormat/>
    <w:rsid w:val="00ca4d4e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2" w:customStyle="1">
    <w:name w:val="Основной текст Знак"/>
    <w:basedOn w:val="DefaultParagraphFont"/>
    <w:qFormat/>
    <w:rsid w:val="003d1a4a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HTML" w:customStyle="1">
    <w:name w:val="Стандартный HTML Знак"/>
    <w:basedOn w:val="DefaultParagraphFont"/>
    <w:uiPriority w:val="99"/>
    <w:qFormat/>
    <w:rsid w:val="00e53d3a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2" w:customStyle="1">
    <w:name w:val="Основной текст 2 Знак"/>
    <w:basedOn w:val="DefaultParagraphFont"/>
    <w:uiPriority w:val="99"/>
    <w:semiHidden/>
    <w:qFormat/>
    <w:rsid w:val="00d36797"/>
    <w:rPr/>
  </w:style>
  <w:style w:type="character" w:styleId="ConsPlusNormal" w:customStyle="1">
    <w:name w:val="ConsPlusNormal Знак"/>
    <w:qFormat/>
    <w:locked/>
    <w:rsid w:val="00d36797"/>
    <w:rPr>
      <w:rFonts w:ascii="Arial" w:hAnsi="Arial" w:eastAsia="Times New Roman" w:cs="Arial"/>
      <w:sz w:val="20"/>
      <w:szCs w:val="20"/>
      <w:lang w:eastAsia="ru-RU"/>
    </w:rPr>
  </w:style>
  <w:style w:type="character" w:styleId="Hyperlink" w:customStyle="1">
    <w:name w:val="Hyperlink"/>
    <w:uiPriority w:val="99"/>
    <w:unhideWhenUsed/>
    <w:qFormat/>
    <w:rsid w:val="00ca4d4e"/>
    <w:rPr>
      <w:color w:val="000080"/>
      <w:u w:val="single"/>
    </w:rPr>
  </w:style>
  <w:style w:type="character" w:styleId="1" w:customStyle="1">
    <w:name w:val="Верхний колонтитул Знак1"/>
    <w:basedOn w:val="DefaultParagraphFont"/>
    <w:uiPriority w:val="99"/>
    <w:qFormat/>
    <w:rsid w:val="00ca4d4e"/>
    <w:rPr/>
  </w:style>
  <w:style w:type="character" w:styleId="Style13" w:customStyle="1">
    <w:name w:val="Верхний колонтитул Знак"/>
    <w:basedOn w:val="DefaultParagraphFont"/>
    <w:qFormat/>
    <w:rsid w:val="00ca4d4e"/>
    <w:rPr/>
  </w:style>
  <w:style w:type="character" w:styleId="Style14" w:customStyle="1">
    <w:name w:val="Нижний колонтитул Знак"/>
    <w:basedOn w:val="DefaultParagraphFont"/>
    <w:uiPriority w:val="99"/>
    <w:qFormat/>
    <w:rsid w:val="00ca4d4e"/>
    <w:rPr/>
  </w:style>
  <w:style w:type="character" w:styleId="Style15" w:customStyle="1">
    <w:name w:val="Текст выноски Знак"/>
    <w:basedOn w:val="DefaultParagraphFont"/>
    <w:uiPriority w:val="99"/>
    <w:semiHidden/>
    <w:qFormat/>
    <w:rsid w:val="00ca4d4e"/>
    <w:rPr>
      <w:rFonts w:ascii="Tahoma" w:hAnsi="Tahoma" w:cs="Tahoma"/>
      <w:sz w:val="16"/>
      <w:szCs w:val="16"/>
    </w:rPr>
  </w:style>
  <w:style w:type="character" w:styleId="Style16" w:customStyle="1">
    <w:name w:val="Текст сноски Знак"/>
    <w:basedOn w:val="DefaultParagraphFont"/>
    <w:uiPriority w:val="99"/>
    <w:semiHidden/>
    <w:qFormat/>
    <w:rsid w:val="00ca4d4e"/>
    <w:rPr>
      <w:rFonts w:ascii="Arial Unicode MS" w:hAnsi="Arial Unicode MS" w:eastAsia="Arial Unicode MS" w:cs="Arial Unicode MS"/>
      <w:color w:val="000000"/>
      <w:sz w:val="20"/>
      <w:szCs w:val="20"/>
      <w:lang w:val="ru-RU" w:eastAsia="ru-RU"/>
    </w:rPr>
  </w:style>
  <w:style w:type="character" w:styleId="Style17" w:customStyle="1">
    <w:name w:val="Символ сноски"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uiPriority w:val="99"/>
    <w:semiHidden/>
    <w:unhideWhenUsed/>
    <w:qFormat/>
    <w:rsid w:val="005300be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5300be"/>
    <w:rPr>
      <w:color w:val="800080"/>
      <w:u w:val="single"/>
    </w:rPr>
  </w:style>
  <w:style w:type="character" w:styleId="user1">
    <w:name w:val="Символ нумерации (user)"/>
    <w:qFormat/>
    <w:rPr/>
  </w:style>
  <w:style w:type="character" w:styleId="FontStyle19">
    <w:name w:val="Font Style19"/>
    <w:basedOn w:val="DefaultParagraphFont"/>
    <w:qFormat/>
    <w:rPr>
      <w:rFonts w:ascii="Times New Roman" w:hAnsi="Times New Roman" w:cs="Times New Roman"/>
      <w:b/>
      <w:bCs/>
      <w:sz w:val="22"/>
      <w:szCs w:val="22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rsid w:val="003d1a4a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2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uiPriority w:val="34"/>
    <w:qFormat/>
    <w:rsid w:val="007d6505"/>
    <w:pPr>
      <w:spacing w:before="0" w:after="200"/>
      <w:ind w:hanging="0" w:start="720"/>
      <w:contextualSpacing/>
    </w:pPr>
    <w:rPr/>
  </w:style>
  <w:style w:type="paragraph" w:styleId="HTMLPreformatted">
    <w:name w:val="HTML Preformatted"/>
    <w:basedOn w:val="Normal"/>
    <w:uiPriority w:val="99"/>
    <w:unhideWhenUsed/>
    <w:qFormat/>
    <w:rsid w:val="00e53d3a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BodyText2">
    <w:name w:val="Body Text 2"/>
    <w:basedOn w:val="Normal"/>
    <w:uiPriority w:val="99"/>
    <w:semiHidden/>
    <w:unhideWhenUsed/>
    <w:qFormat/>
    <w:rsid w:val="00d36797"/>
    <w:pPr>
      <w:spacing w:lineRule="auto" w:line="480" w:before="0" w:after="120"/>
    </w:pPr>
    <w:rPr/>
  </w:style>
  <w:style w:type="paragraph" w:styleId="ConsPlusNormal1" w:customStyle="1">
    <w:name w:val="ConsPlusNormal"/>
    <w:qFormat/>
    <w:rsid w:val="00d36797"/>
    <w:pPr>
      <w:widowControl w:val="false"/>
      <w:suppressAutoHyphens w:val="true"/>
      <w:bidi w:val="0"/>
      <w:spacing w:before="0" w:after="0"/>
      <w:ind w:firstLine="720"/>
      <w:jc w:val="start"/>
    </w:pPr>
    <w:rPr>
      <w:rFonts w:ascii="Arial" w:hAnsi="Arial" w:eastAsia="Times New Roman" w:cs="Arial"/>
      <w:color w:val="auto"/>
      <w:kern w:val="0"/>
      <w:sz w:val="22"/>
      <w:szCs w:val="20"/>
      <w:lang w:val="ru-RU" w:eastAsia="ru-RU" w:bidi="ar-SA"/>
    </w:rPr>
  </w:style>
  <w:style w:type="paragraph" w:styleId="NoSpacing">
    <w:name w:val="No Spacing"/>
    <w:uiPriority w:val="1"/>
    <w:qFormat/>
    <w:rsid w:val="00ca4d4e"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1" w:customStyle="1">
    <w:name w:val="Верхний колонтитул1"/>
    <w:basedOn w:val="Normal"/>
    <w:unhideWhenUsed/>
    <w:qFormat/>
    <w:rsid w:val="00ca4d4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0">
    <w:name w:val="Верхний и нижний колонтитулы"/>
    <w:basedOn w:val="Normal"/>
    <w:qFormat/>
    <w:pPr/>
    <w:rPr/>
  </w:style>
  <w:style w:type="paragraph" w:styleId="Style21">
    <w:name w:val="Колонтитулы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Header">
    <w:name w:val="header"/>
    <w:basedOn w:val="Normal"/>
    <w:uiPriority w:val="99"/>
    <w:unhideWhenUsed/>
    <w:rsid w:val="00ca4d4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rsid w:val="00ca4d4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ca4d4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uiPriority w:val="99"/>
    <w:semiHidden/>
    <w:unhideWhenUsed/>
    <w:rsid w:val="00ca4d4e"/>
    <w:pPr>
      <w:spacing w:lineRule="auto" w:line="240" w:before="0" w:after="0"/>
    </w:pPr>
    <w:rPr>
      <w:rFonts w:ascii="Arial Unicode MS" w:hAnsi="Arial Unicode MS" w:eastAsia="Arial Unicode MS" w:cs="Arial Unicode MS"/>
      <w:color w:val="000000"/>
      <w:sz w:val="20"/>
      <w:szCs w:val="20"/>
      <w:lang w:val="ru-RU" w:eastAsia="ru-RU"/>
    </w:rPr>
  </w:style>
  <w:style w:type="paragraph" w:styleId="xl63" w:customStyle="1">
    <w:name w:val="xl63"/>
    <w:basedOn w:val="Normal"/>
    <w:qFormat/>
    <w:rsid w:val="00ca4d4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xl64" w:customStyle="1">
    <w:name w:val="xl64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5" w:customStyle="1">
    <w:name w:val="xl65"/>
    <w:basedOn w:val="Normal"/>
    <w:qFormat/>
    <w:rsid w:val="00ca4d4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6" w:customStyle="1">
    <w:name w:val="xl66"/>
    <w:basedOn w:val="Normal"/>
    <w:qFormat/>
    <w:rsid w:val="00ca4d4e"/>
    <w:pP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7" w:customStyle="1">
    <w:name w:val="xl67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8" w:customStyle="1">
    <w:name w:val="xl68"/>
    <w:basedOn w:val="Normal"/>
    <w:qFormat/>
    <w:rsid w:val="00ca4d4e"/>
    <w:pP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9" w:customStyle="1">
    <w:name w:val="xl69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0" w:customStyle="1">
    <w:name w:val="xl70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1" w:customStyle="1">
    <w:name w:val="xl71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2" w:customStyle="1">
    <w:name w:val="xl72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3" w:customStyle="1">
    <w:name w:val="xl7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4" w:customStyle="1">
    <w:name w:val="xl74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5" w:customStyle="1">
    <w:name w:val="xl75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6" w:customStyle="1">
    <w:name w:val="xl76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7" w:customStyle="1">
    <w:name w:val="xl77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8" w:customStyle="1">
    <w:name w:val="xl78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9" w:customStyle="1">
    <w:name w:val="xl79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80" w:customStyle="1">
    <w:name w:val="xl80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81" w:customStyle="1">
    <w:name w:val="xl81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2" w:customStyle="1">
    <w:name w:val="xl82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3" w:customStyle="1">
    <w:name w:val="xl8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4" w:customStyle="1">
    <w:name w:val="xl84"/>
    <w:basedOn w:val="Normal"/>
    <w:qFormat/>
    <w:rsid w:val="00ca4d4e"/>
    <w:pP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5" w:customStyle="1">
    <w:name w:val="xl85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6" w:customStyle="1">
    <w:name w:val="xl86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7" w:customStyle="1">
    <w:name w:val="xl8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8" w:customStyle="1">
    <w:name w:val="xl88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9" w:customStyle="1">
    <w:name w:val="xl89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0" w:customStyle="1">
    <w:name w:val="xl90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1" w:customStyle="1">
    <w:name w:val="xl91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2" w:customStyle="1">
    <w:name w:val="xl92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3" w:customStyle="1">
    <w:name w:val="xl93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4" w:customStyle="1">
    <w:name w:val="xl94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5" w:customStyle="1">
    <w:name w:val="xl95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6" w:customStyle="1">
    <w:name w:val="xl96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7" w:customStyle="1">
    <w:name w:val="xl97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8" w:customStyle="1">
    <w:name w:val="xl98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9" w:customStyle="1">
    <w:name w:val="xl99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0" w:customStyle="1">
    <w:name w:val="xl100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1" w:customStyle="1">
    <w:name w:val="xl101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2" w:customStyle="1">
    <w:name w:val="xl102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3" w:customStyle="1">
    <w:name w:val="xl103"/>
    <w:basedOn w:val="Normal"/>
    <w:qFormat/>
    <w:rsid w:val="00ca4d4e"/>
    <w:pPr>
      <w:pBdr>
        <w:top w:val="single" w:sz="4" w:space="0" w:color="000000"/>
        <w:lef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4" w:customStyle="1">
    <w:name w:val="xl104"/>
    <w:basedOn w:val="Normal"/>
    <w:qFormat/>
    <w:rsid w:val="00ca4d4e"/>
    <w:pPr>
      <w:pBdr>
        <w:top w:val="single" w:sz="4" w:space="0" w:color="000000"/>
        <w:left w:val="single" w:sz="8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5" w:customStyle="1">
    <w:name w:val="xl105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6" w:customStyle="1">
    <w:name w:val="xl106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7" w:customStyle="1">
    <w:name w:val="xl10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108" w:customStyle="1">
    <w:name w:val="xl108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109" w:customStyle="1">
    <w:name w:val="xl109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0" w:customStyle="1">
    <w:name w:val="xl110"/>
    <w:basedOn w:val="Normal"/>
    <w:qFormat/>
    <w:rsid w:val="00ca4d4e"/>
    <w:pPr>
      <w:pBdr>
        <w:top w:val="single" w:sz="8" w:space="0" w:color="000000"/>
        <w:left w:val="single" w:sz="8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1" w:customStyle="1">
    <w:name w:val="xl111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2" w:customStyle="1">
    <w:name w:val="xl112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3" w:customStyle="1">
    <w:name w:val="xl113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4" w:customStyle="1">
    <w:name w:val="xl114"/>
    <w:basedOn w:val="Normal"/>
    <w:qFormat/>
    <w:rsid w:val="00ca4d4e"/>
    <w:pPr>
      <w:pBdr>
        <w:top w:val="single" w:sz="8" w:space="0" w:color="000000"/>
        <w:lef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5" w:customStyle="1">
    <w:name w:val="xl115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6" w:customStyle="1">
    <w:name w:val="xl116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7" w:customStyle="1">
    <w:name w:val="xl11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8" w:customStyle="1">
    <w:name w:val="xl118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9" w:customStyle="1">
    <w:name w:val="xl119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0" w:customStyle="1">
    <w:name w:val="xl120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1" w:customStyle="1">
    <w:name w:val="xl121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2" w:customStyle="1">
    <w:name w:val="xl122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3" w:customStyle="1">
    <w:name w:val="xl12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4" w:customStyle="1">
    <w:name w:val="xl124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5" w:customStyle="1">
    <w:name w:val="xl125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26" w:customStyle="1">
    <w:name w:val="xl126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27" w:customStyle="1">
    <w:name w:val="xl127"/>
    <w:basedOn w:val="Normal"/>
    <w:qFormat/>
    <w:rsid w:val="00ca4d4e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8" w:customStyle="1">
    <w:name w:val="xl128"/>
    <w:basedOn w:val="Normal"/>
    <w:qFormat/>
    <w:rsid w:val="00ca4d4e"/>
    <w:pPr>
      <w:pBdr>
        <w:top w:val="single" w:sz="8" w:space="0" w:color="000000"/>
        <w:bottom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9" w:customStyle="1">
    <w:name w:val="xl129"/>
    <w:basedOn w:val="Normal"/>
    <w:qFormat/>
    <w:rsid w:val="00ca4d4e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30" w:customStyle="1">
    <w:name w:val="xl130"/>
    <w:basedOn w:val="Normal"/>
    <w:qFormat/>
    <w:rsid w:val="00ca4d4e"/>
    <w:pPr>
      <w:pBdr>
        <w:top w:val="single" w:sz="4" w:space="0" w:color="000000"/>
        <w:lef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31" w:customStyle="1">
    <w:name w:val="xl131"/>
    <w:basedOn w:val="Normal"/>
    <w:qFormat/>
    <w:rsid w:val="00ca4d4e"/>
    <w:pPr>
      <w:pBdr>
        <w:top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32" w:customStyle="1">
    <w:name w:val="xl132"/>
    <w:basedOn w:val="Normal"/>
    <w:qFormat/>
    <w:rsid w:val="00ca4d4e"/>
    <w:pPr>
      <w:pBdr>
        <w:top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33" w:customStyle="1">
    <w:name w:val="xl133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user5" w:customStyle="1">
    <w:name w:val="Содержимое таблицы (user)"/>
    <w:basedOn w:val="Normal"/>
    <w:qFormat/>
    <w:pPr>
      <w:suppressLineNumbers/>
    </w:pPr>
    <w:rPr/>
  </w:style>
  <w:style w:type="paragraph" w:styleId="user6" w:customStyle="1">
    <w:name w:val="Заголовок таблицы (user)"/>
    <w:basedOn w:val="user5"/>
    <w:qFormat/>
    <w:pPr>
      <w:jc w:val="center"/>
    </w:pPr>
    <w:rPr>
      <w:b/>
      <w:bCs/>
    </w:rPr>
  </w:style>
  <w:style w:type="paragraph" w:styleId="Style22">
    <w:name w:val="Style2"/>
    <w:basedOn w:val="Normal"/>
    <w:qFormat/>
    <w:pPr>
      <w:spacing w:lineRule="exact" w:line="444"/>
      <w:ind w:firstLine="1862"/>
    </w:pPr>
    <w:rPr/>
  </w:style>
  <w:style w:type="paragraph" w:styleId="Style23">
    <w:name w:val="Содержимое таблицы"/>
    <w:basedOn w:val="Normal"/>
    <w:qFormat/>
    <w:pPr>
      <w:suppressLineNumbers/>
    </w:pPr>
    <w:rPr/>
  </w:style>
  <w:style w:type="numbering" w:styleId="Style24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59"/>
    <w:rsid w:val="007d650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Сетка таблицы1"/>
    <w:basedOn w:val="a1"/>
    <w:uiPriority w:val="59"/>
    <w:rsid w:val="005300be"/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roseltorg.ru/" TargetMode="External"/><Relationship Id="rId3" Type="http://schemas.openxmlformats.org/officeDocument/2006/relationships/hyperlink" Target="https://www.roseltorg.ru/" TargetMode="External"/><Relationship Id="rId4" Type="http://schemas.openxmlformats.org/officeDocument/2006/relationships/hyperlink" Target="consultantplus://offline/ref=8608A915A77589369BD2B7F347595D5ABC538B22E06FA735FD52FF4C23570EP" TargetMode="External"/><Relationship Id="rId5" Type="http://schemas.openxmlformats.org/officeDocument/2006/relationships/hyperlink" Target="consultantplus://offline/ref=8886142B30A1ED25946F3605BFB8077666AA29F7575C6D2C2FD59D8142AD0511DD20E07C6D1DA4B9D5ZBG" TargetMode="External"/><Relationship Id="rId6" Type="http://schemas.openxmlformats.org/officeDocument/2006/relationships/hyperlink" Target="http://www.torgi.gov.ru/" TargetMode="External"/><Relationship Id="rId7" Type="http://schemas.openxmlformats.org/officeDocument/2006/relationships/hyperlink" Target="http://www.roseltorg.ru/" TargetMode="Externa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1496</TotalTime>
  <Application>LibreOffice/25.8.3.2$Linux_X86_64 LibreOffice_project/580$Build-2</Application>
  <AppVersion>15.0000</AppVersion>
  <Pages>8</Pages>
  <Words>2448</Words>
  <Characters>19009</Characters>
  <CharactersWithSpaces>21539</CharactersWithSpaces>
  <Paragraphs>255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2020-10-24T03:17:00Z</dcterms:created>
  <dc:creator>Лукьянов Алексей Анатольевич</dc:creator>
  <dc:description/>
  <dc:language>ru-RU</dc:language>
  <cp:lastModifiedBy/>
  <cp:lastPrinted>2026-08-11T15:52:01Z</cp:lastPrinted>
  <dcterms:modified xsi:type="dcterms:W3CDTF">2026-09-29T16:38:55Z</dcterms:modified>
  <cp:revision>48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