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о проведении продажи посредством публичного предложения 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 xml:space="preserve">высвобождаемого движимого военного имущества № </w:t>
      </w:r>
      <w:r>
        <w:rPr>
          <w:rFonts w:cs="Times New Roman" w:ascii="Times New Roman" w:hAnsi="Times New Roman"/>
          <w:b/>
          <w:sz w:val="20"/>
          <w:szCs w:val="20"/>
        </w:rPr>
        <w:t>6</w:t>
      </w:r>
    </w:p>
    <w:tbl>
      <w:tblPr>
        <w:tblW w:w="1020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в </w:t>
            </w: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году (</w:t>
            </w:r>
            <w:r>
              <w:rPr>
                <w:rFonts w:eastAsia="Calibri" w:cs="Times New Roman" w:ascii="Times New Roman" w:hAnsi="Times New Roman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распоряжения заместителя директора ФС ВНГ РФ – главнокомандующего ВНГ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 xml:space="preserve">от 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05.05.2026 № 23/3878</w:t>
            </w:r>
            <w:r>
              <w:rPr>
                <w:rFonts w:eastAsia="Calibri" w:cs="Times New Roman" w:ascii="Times New Roman" w:hAnsi="Times New Roman"/>
                <w:bCs/>
                <w:color w:val="000000"/>
                <w:kern w:val="0"/>
                <w:sz w:val="20"/>
                <w:szCs w:val="20"/>
                <w:lang w:val="ru-RU" w:eastAsia="en-US" w:bidi="ar-SA"/>
              </w:rPr>
              <w:t>)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Высвобождаемое движимое имущество автобронетанковой </w:t>
            </w: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0"/>
                <w:szCs w:val="20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start="0" w:end="-1"/>
              <w:jc w:val="both"/>
              <w:rPr/>
            </w:pPr>
            <w:r>
              <w:rPr>
                <w:rStyle w:val="FontStyle19"/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0"/>
                <w:szCs w:val="20"/>
                <w:u w:val="none"/>
                <w:shd w:fill="auto" w:val="clear"/>
                <w:em w:val="none"/>
                <w:lang w:val="ru-RU" w:eastAsia="ru-RU" w:bidi="ar-SA"/>
              </w:rPr>
              <w:t>685000 Магаданская область, г. Магадан ул. Гагарина д,26г., Управление Росгвардии по Магаданской области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Продажа государственного имущества посредством публичного предложения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18 857,60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понижения»)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Не более 10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% от начальной цены продажи —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>1 885,76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Величина повышения начальной цены («шаг аукциона»)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 более 50% от «шага понижения»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942,88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фиксированная сумма, не изменяется в течение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Минимальная цена продажи («цена отсечения»)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 отсечения 50% начальной цены продажи — 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9 </w:t>
            </w: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  <w:lang w:val="ru-RU" w:eastAsia="en-US" w:bidi="ar-SA"/>
              </w:rPr>
              <w:t xml:space="preserve">428,80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0" w:name="sub_662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     </w:t>
            </w:r>
            <w:bookmarkStart w:id="1" w:name="sub_6621"/>
            <w:bookmarkEnd w:id="0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1"/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0"/>
                <w:szCs w:val="20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      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10%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 - 1 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>885,76</w:t>
            </w:r>
            <w:r>
              <w:rPr>
                <w:rFonts w:cs="Times New Roman" w:ascii="Times New Roman" w:hAnsi="Times New Roman"/>
                <w:bCs/>
                <w:color w:val="000000"/>
                <w:sz w:val="20"/>
                <w:szCs w:val="20"/>
              </w:rPr>
              <w:t xml:space="preserve"> 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0"/>
                <w:szCs w:val="20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Задаток </w:t>
            </w:r>
            <w:r>
              <w:rPr>
                <w:rFonts w:cs="Times New Roman" w:ascii="Times New Roman" w:hAnsi="Times New Roman"/>
                <w:bCs/>
                <w:iCs/>
                <w:sz w:val="20"/>
                <w:szCs w:val="20"/>
              </w:rPr>
              <w:t>должен быть перечислен на указанный счет не позднее 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04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декабря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8"/>
                <w:tab w:val="left" w:pos="1260" w:leader="none"/>
                <w:tab w:val="left" w:pos="7740" w:leader="none"/>
              </w:tabs>
              <w:ind w:firstLine="6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8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претенденту было отказано в приеме заявки на участие в аукционе, продавец обязуется возвратить сумму задатка на счет претендента, указанный в заявке, в течение 5 (пяти) дней с даты отказа в принятии заявки, проставленной продавцом на описи представленных претендентом документов;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претендент не допущен к участию в аукционе, продавец обязуется возвратить сумму задатка на счет претендента, указанный в заявке, в течение 5 (пяти) дней со дня подписания протокола о признании претендентов участниками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если участник не признан победителем аукциона, продавец обязуется возвратить сумму задатка на счет,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отзыва претендентом в установленном порядке заявки на участие в аукционе до даты окончания приема заявок продавец обязуется возвратить сумму задатка на счет претендента, указанный в заявке, в течение 5 (пяти) дней с даты получения продавцом от претендента письменного уведомления об отзыве заявки. Если заявка отозвана претендентом позднее даты окончания приема заявок, задаток возвращается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- в случае признания аукциона несостоявшимся, продавец обязуется возвратить сумму задатка на счет участника, указанный в заявке, в течение 5 (пяти) дней с даты подведения итогов аукциона;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в случае отмены проведения аукциона, продавец в течение 5 (пяти) дней с даты опубликования об этом информационного сообщения возвращает участнику сумму задатка на счет, указанный в заявке;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продавец освобождается от ответственности за несвоевременное перечисление суммы задатка на счет Претендента, если претендент предоставил недостоверные и (или) неполные сведения о своих реквизитах в заявке.</w:t>
            </w:r>
          </w:p>
          <w:p>
            <w:pPr>
              <w:pStyle w:val="Normal"/>
              <w:tabs>
                <w:tab w:val="clear" w:pos="708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если участник, признанный победителем аукциона, уклоняется или отказывается от заключения договора купли-продажи в установленный срок, в том числе, в случае непредставления таким участником документов, подтверждающих его право быть покупателем имущества (если заключение договора купли-продажи высвобождаемого движимого военного имущества являлось для участников аукциона лицензируемым видом деятельности, осуществление которого в силу действующего законодательства возможно только при наличии соответствующей лицензии;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eastAsia="" w:cs="Times New Roman" w:ascii="Times New Roman" w:hAnsi="Times New Roman" w:eastAsiaTheme="minorEastAsia"/>
                <w:sz w:val="20"/>
                <w:szCs w:val="20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https://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val="en-US" w:eastAsia="ru-RU"/>
                </w:rPr>
                <w:t>www</w:t>
              </w:r>
              <w:r>
                <w:rPr>
                  <w:rStyle w:val="Style7"/>
                  <w:rFonts w:eastAsia="Times New Roman" w:cs="Times New Roman" w:ascii="Times New Roman" w:hAnsi="Times New Roman"/>
                  <w:sz w:val="20"/>
                  <w:szCs w:val="20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" w:cs="Times New Roman CYR" w:ascii="Times New Roman CYR" w:hAnsi="Times New Roman CYR" w:eastAsiaTheme="minorEastAsia"/>
                <w:sz w:val="20"/>
                <w:szCs w:val="20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end="-2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начала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12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октября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Дата окончания приема заявок на участие в продаже посредством публичного предложения –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07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Calibri" w:cs="Times New Roman" w:ascii="Times New Roman" w:hAnsi="Times New Roman" w:eastAsiaTheme="minorHAnsi"/>
                <w:b/>
                <w:bCs/>
                <w:iCs/>
                <w:color w:val="auto"/>
                <w:kern w:val="0"/>
                <w:sz w:val="20"/>
                <w:szCs w:val="20"/>
                <w:lang w:val="ru-RU" w:eastAsia="en-US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 w:eastAsiaTheme="minorHAnsi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признание претендентов участниками торгов -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«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09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»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декабря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г.</w:t>
            </w:r>
          </w:p>
        </w:tc>
      </w:tr>
      <w:tr>
        <w:trPr>
          <w:trHeight w:val="791" w:hRule="atLeast"/>
        </w:trPr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Дата, время и место проведения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Проведение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торгов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- «1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» дека</w:t>
            </w:r>
            <w:r>
              <w:rPr>
                <w:rFonts w:eastAsia="Times New Roman" w:cs="Times New Roman" w:ascii="Times New Roman" w:hAnsi="Times New Roman"/>
                <w:b/>
                <w:bCs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бря</w:t>
            </w: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0"/>
                <w:szCs w:val="20"/>
                <w:lang w:val="ru-RU" w:eastAsia="ru-RU" w:bidi="ar-SA"/>
              </w:rPr>
              <w:t>2026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 г. в 12 ч. 00 мин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АО «ЕЭТП» или «Росэлторг») </w:t>
            </w:r>
            <w:hyperlink r:id="rId3"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https://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www</w:t>
              </w:r>
              <w:r>
                <w:rPr>
                  <w:rStyle w:val="Style7"/>
                  <w:rFonts w:cs="Times New Roman" w:ascii="Times New Roman" w:hAnsi="Times New Roman"/>
                  <w:color w:val="0000FF"/>
                  <w:sz w:val="20"/>
                  <w:szCs w:val="20"/>
                  <w:u w:val="single"/>
                </w:rPr>
                <w:t>.roseltorg.ru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HTMLPreformatted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Подведение итогов – в день проведения торгов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start="624" w:end="624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start="0" w:end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4">
              <w:r>
                <w:rPr>
                  <w:rStyle w:val="Style7"/>
                  <w:rFonts w:eastAsia="Times New Roman" w:cs="Times New Roman" w:ascii="Times New Roman" w:hAnsi="Times New Roman"/>
                  <w:bCs/>
                  <w:sz w:val="20"/>
                  <w:szCs w:val="20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Основания для отказа претенденту участвовать в аукционе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Претендент не допускается к участию в аукционе по следующим основаниям: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      </w:r>
          </w:p>
          <w:p>
            <w:pPr>
              <w:pStyle w:val="ConsPlusNormal1"/>
              <w:widowControl/>
              <w:ind w:firstLine="709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заявка подана лицом, не уполномоченным претендентом на осуществление таких действий;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 не подтверждено поступление в установленный срок задатка на счета, указанные в информационном сообщении.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результатам торгов продавец и победитель продажи посредством публичного предложения (покупатель) в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течение 5 рабочих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дней со дня подведения итогов аукциона заключают в соответствии с </w:t>
            </w:r>
            <w:hyperlink r:id="rId5">
              <w:r>
                <w:rPr>
                  <w:rStyle w:val="Style7"/>
                  <w:rFonts w:ascii="Times New Roman" w:hAnsi="Times New Roman"/>
                  <w:sz w:val="20"/>
                  <w:szCs w:val="20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Российской Федерации договор купли-продажи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Информация о проведении продаж посредством публичного предложения имущества размещается на официальном сайте Российской Федерации в сети «Интернет» </w:t>
            </w:r>
            <w:hyperlink r:id="rId6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, на сайте электронной площадки </w:t>
            </w:r>
            <w:hyperlink r:id="rId7">
              <w:r>
                <w:rPr>
                  <w:rStyle w:val="Style7"/>
                  <w:rFonts w:eastAsia="Times New Roman" w:cs="Times New Roman" w:ascii="Times New Roman" w:hAnsi="Times New Roman"/>
                  <w:color w:val="0000FF"/>
                  <w:sz w:val="20"/>
                  <w:szCs w:val="20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 xml:space="preserve"> +7(4212)34-04-</w:t>
            </w:r>
            <w:r>
              <w:rPr>
                <w:rFonts w:eastAsia="Calibri" w:cs="TimesNewRomanPSMT" w:ascii="TimesNewRomanPSMT" w:hAnsi="TimesNewRomanPSMT"/>
                <w:b/>
                <w:color w:val="auto"/>
                <w:kern w:val="0"/>
                <w:sz w:val="20"/>
                <w:szCs w:val="20"/>
                <w:lang w:val="ru-RU" w:eastAsia="en-US" w:bidi="ar-SA"/>
              </w:rPr>
              <w:t>86</w:t>
            </w:r>
            <w:r>
              <w:rPr>
                <w:rFonts w:eastAsia="Times New Roman" w:cs="TimesNewRomanPSMT" w:ascii="TimesNewRomanPSMT" w:hAnsi="TimesNewRomanPSMT"/>
                <w:b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bookmarkStart w:id="2" w:name="_GoBack"/>
            <w:bookmarkEnd w:id="2"/>
            <w:r>
              <w:rPr>
                <w:rFonts w:eastAsia="Times New Roman" w:cs="TimesNewRomanPSMT" w:ascii="Times New Roman" w:hAnsi="Times New Roman"/>
                <w:b/>
                <w:sz w:val="20"/>
                <w:szCs w:val="20"/>
                <w:shd w:fill="auto" w:val="clear"/>
                <w:lang w:eastAsia="ru-RU"/>
              </w:rPr>
              <w:t xml:space="preserve">Контактное лицо </w:t>
            </w:r>
            <w:r>
              <w:rPr>
                <w:rFonts w:eastAsia="Calibri" w:cs="TimesNewRomanPSMT" w:ascii="Times New Roman" w:hAnsi="Times New Roman"/>
                <w:b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Харин Вячеслав Васильевич 8-914-032-86-79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0"/>
                <w:szCs w:val="20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Порядок определения победителей при проведении аукциона</w:t>
            </w:r>
          </w:p>
        </w:tc>
        <w:tc>
          <w:tcPr>
            <w:tcW w:w="69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624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firstLine="567" w:start="0" w:end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II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        <w:br/>
      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Ход проведения процедуры продажи имущества посредством публичного предложения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Организатора электронного журнала.</w:t>
            </w:r>
          </w:p>
          <w:p>
            <w:pPr>
              <w:pStyle w:val="Normal"/>
              <w:spacing w:lineRule="auto" w:line="240" w:before="0" w:after="0"/>
              <w:ind w:firstLine="851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      </w:r>
          </w:p>
        </w:tc>
      </w:tr>
      <w:tr>
        <w:trPr/>
        <w:tc>
          <w:tcPr>
            <w:tcW w:w="6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start="0" w:end="0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260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Извещение о продаже имущества № 2200005479000000052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01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0"/>
                <w:szCs w:val="20"/>
                <w:lang w:val="ru-RU" w:eastAsia="en-US" w:bidi="ar-SA"/>
              </w:rPr>
              <w:t>09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.2026 (аукцион признан не состоявшимся по основаниям отсутствия заявок на участие).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before="0" w:after="20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9775" w:type="dxa"/>
        <w:jc w:val="start"/>
        <w:tblInd w:w="7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75"/>
        <w:gridCol w:w="3982"/>
        <w:gridCol w:w="1261"/>
        <w:gridCol w:w="1489"/>
        <w:gridCol w:w="2468"/>
      </w:tblGrid>
      <w:tr>
        <w:trPr>
          <w:tblHeader w:val="true"/>
          <w:trHeight w:val="1464" w:hRule="atLeast"/>
        </w:trPr>
        <w:tc>
          <w:tcPr>
            <w:tcW w:w="5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398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261" w:type="dxa"/>
            <w:tcBorders>
              <w:top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Ед. изм.</w:t>
            </w:r>
          </w:p>
        </w:tc>
        <w:tc>
          <w:tcPr>
            <w:tcW w:w="14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Кол-во</w:t>
            </w:r>
          </w:p>
        </w:tc>
        <w:tc>
          <w:tcPr>
            <w:tcW w:w="246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5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Style23"/>
              <w:spacing w:before="0" w:after="200"/>
              <w:jc w:val="center"/>
              <w:rPr>
                <w:rFonts w:ascii="Tinos" w:hAnsi="Tinos"/>
                <w:color w:val="000000"/>
                <w:sz w:val="20"/>
                <w:szCs w:val="20"/>
              </w:rPr>
            </w:pPr>
            <w:r>
              <w:rPr>
                <w:rFonts w:ascii="Tinos" w:hAnsi="Tinos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82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ind w:hanging="0" w:start="0" w:end="0"/>
              <w:jc w:val="start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Стекло лобовое3151-5206010</w:t>
            </w:r>
          </w:p>
        </w:tc>
        <w:tc>
          <w:tcPr>
            <w:tcW w:w="1261" w:type="dxa"/>
            <w:tcBorders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ind w:hanging="0" w:start="0" w:end="0"/>
              <w:jc w:val="center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шт.</w:t>
            </w:r>
          </w:p>
        </w:tc>
        <w:tc>
          <w:tcPr>
            <w:tcW w:w="14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hanging="0" w:start="0" w:end="0"/>
              <w:jc w:val="center"/>
              <w:rPr>
                <w:rFonts w:ascii="Tinos" w:hAnsi="Tinos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</w:pPr>
            <w:r>
              <w:rPr>
                <w:rFonts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  <w:em w:val="none"/>
              </w:rPr>
              <w:t>7</w:t>
            </w:r>
          </w:p>
        </w:tc>
        <w:tc>
          <w:tcPr>
            <w:tcW w:w="2468" w:type="dxa"/>
            <w:tcBorders>
              <w:bottom w:val="single" w:sz="4" w:space="0" w:color="000000"/>
              <w:end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200"/>
              <w:ind w:hanging="0" w:start="0" w:end="0"/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eastAsia="Nimbus Roman" w:cs="Nimbus Roman" w:ascii="Tinos" w:hAnsi="Tinos"/>
                <w:b w:val="false"/>
                <w:i w:val="false"/>
                <w:strike w:val="false"/>
                <w:dstrike w:val="false"/>
                <w:outline w:val="false"/>
                <w:shadow w:val="false"/>
                <w:sz w:val="22"/>
                <w:szCs w:val="22"/>
                <w:u w:val="none"/>
                <w:em w:val="none"/>
              </w:rPr>
              <w:t>т</w:t>
            </w:r>
            <w:r>
              <w:rPr>
                <w:rFonts w:eastAsia="Nimbus Roman" w:cs="Nimbus Roman" w:ascii="Tinos" w:hAnsi="Tinos"/>
                <w:sz w:val="22"/>
                <w:szCs w:val="22"/>
              </w:rPr>
              <w:t>ехнически исправен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nos" w:hAnsi="Tinos"/>
          <w:sz w:val="22"/>
          <w:szCs w:val="22"/>
        </w:rPr>
      </w:pPr>
      <w:r>
        <w:rPr>
          <w:rFonts w:ascii="Tinos" w:hAnsi="Tinos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>М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ru-RU" w:bidi="ar-SA"/>
        </w:rPr>
        <w:t xml:space="preserve">есто нахождения имущества: </w:t>
      </w:r>
      <w:r>
        <w:rPr>
          <w:rFonts w:eastAsia="Calibri" w:cs="Tinos" w:ascii="Tinos" w:hAnsi="Tinos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2"/>
          <w:szCs w:val="22"/>
          <w:u w:val="none"/>
          <w:em w:val="none"/>
          <w:lang w:val="ru-RU" w:eastAsia="en-US" w:bidi="ar-SA"/>
        </w:rPr>
        <w:t>685000 Магаданская область, г. Магадан ул. Гагарина д,26г., Управление Росгвардии по Магаданской области</w:t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HTMLPreformatted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3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3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76" w:leader="none"/>
        </w:tabs>
        <w:spacing w:lineRule="auto" w:line="240" w:before="0" w:after="0"/>
        <w:ind w:hanging="576" w:star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TimesNewRomanPSMT">
    <w:charset w:val="01"/>
    <w:family w:val="roman"/>
    <w:pitch w:val="default"/>
  </w:font>
  <w:font w:name="TimesNewRoman">
    <w:charset w:val="01"/>
    <w:family w:val="roman"/>
    <w:pitch w:val="default"/>
  </w:font>
  <w:font w:name="Tino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36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Style19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star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2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3" w:customStyle="1">
    <w:name w:val="Верхний колонтитул Знак"/>
    <w:basedOn w:val="DefaultParagraphFont"/>
    <w:qFormat/>
    <w:rsid w:val="00ca4d4e"/>
    <w:rPr/>
  </w:style>
  <w:style w:type="character" w:styleId="Style14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6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7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Style18">
    <w:name w:val="Символ нумерации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star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2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23" w:customStyle="1">
    <w:name w:val="Содержимое таблицы"/>
    <w:basedOn w:val="Normal"/>
    <w:qFormat/>
    <w:pPr>
      <w:suppressLineNumbers/>
    </w:pPr>
    <w:rPr/>
  </w:style>
  <w:style w:type="paragraph" w:styleId="Style24" w:customStyle="1">
    <w:name w:val="Заголовок таблицы"/>
    <w:basedOn w:val="Style23"/>
    <w:qFormat/>
    <w:pPr>
      <w:jc w:val="center"/>
    </w:pPr>
    <w:rPr>
      <w:b/>
      <w:bCs/>
    </w:rPr>
  </w:style>
  <w:style w:type="paragraph" w:styleId="Style25">
    <w:name w:val="Style2"/>
    <w:basedOn w:val="Normal"/>
    <w:qFormat/>
    <w:pPr>
      <w:spacing w:lineRule="exact" w:line="444"/>
      <w:ind w:firstLine="1862"/>
    </w:pPr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https://www.roseltorg.ru/" TargetMode="External"/><Relationship Id="rId4" Type="http://schemas.openxmlformats.org/officeDocument/2006/relationships/hyperlink" Target="consultantplus://offline/ref=8608A915A77589369BD2B7F347595D5ABC538B22E06FA735FD52FF4C23570EP" TargetMode="External"/><Relationship Id="rId5" Type="http://schemas.openxmlformats.org/officeDocument/2006/relationships/hyperlink" Target="consultantplus://offline/ref=8886142B30A1ED25946F3605BFB8077666AA29F7575C6D2C2FD59D8142AD0511DD20E07C6D1DA4B9D5ZBG" TargetMode="External"/><Relationship Id="rId6" Type="http://schemas.openxmlformats.org/officeDocument/2006/relationships/hyperlink" Target="http://www.torgi.gov.ru/" TargetMode="External"/><Relationship Id="rId7" Type="http://schemas.openxmlformats.org/officeDocument/2006/relationships/hyperlink" Target="http://www.roseltorg.ru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Application>LibreOffice/25.8.3.2$Linux_X86_64 LibreOffice_project/580$Build-2</Application>
  <AppVersion>15.0000</AppVersion>
  <Pages>8</Pages>
  <Words>2328</Words>
  <Characters>18299</Characters>
  <CharactersWithSpaces>20777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2020-10-24T03:17:00Z</dcterms:created>
  <dc:creator>Лукьянов Алексей Анатольевич</dc:creator>
  <dc:description/>
  <dc:language>ru-RU</dc:language>
  <cp:lastModifiedBy/>
  <cp:lastPrinted>2026-08-11T15:52:01Z</cp:lastPrinted>
  <dcterms:modified xsi:type="dcterms:W3CDTF">2026-09-29T16:42:54Z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